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Default Extension="emf" ContentType="image/x-emf"/>
  <Override PartName="/word/theme/themeOverride1.xml" ContentType="application/vnd.openxmlformats-officedocument.themeOverride+xml"/>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5E" w:rsidRPr="0092693B" w:rsidRDefault="0000625E" w:rsidP="00F16E68"/>
    <w:p w:rsidR="0000625E" w:rsidRPr="0092693B" w:rsidRDefault="0000625E" w:rsidP="00F16E68"/>
    <w:p w:rsidR="0000625E" w:rsidRPr="0092693B" w:rsidRDefault="0000625E" w:rsidP="00F16E68"/>
    <w:p w:rsidR="0000625E" w:rsidRDefault="0000625E" w:rsidP="00F16E68"/>
    <w:p w:rsidR="004154CA" w:rsidRDefault="004154CA" w:rsidP="00F16E68"/>
    <w:p w:rsidR="004154CA" w:rsidRPr="0092693B" w:rsidRDefault="004154CA" w:rsidP="00F16E68"/>
    <w:p w:rsidR="004154CA" w:rsidRDefault="004154CA" w:rsidP="00F16E68"/>
    <w:p w:rsidR="0000625E" w:rsidRPr="004154CA" w:rsidRDefault="0000625E" w:rsidP="00C359F7">
      <w:pPr>
        <w:jc w:val="center"/>
      </w:pPr>
    </w:p>
    <w:p w:rsidR="0000625E" w:rsidRPr="009603EF" w:rsidRDefault="0000625E" w:rsidP="00C359F7">
      <w:pPr>
        <w:jc w:val="center"/>
        <w:rPr>
          <w:b/>
          <w:bCs/>
          <w:color w:val="002060"/>
          <w:sz w:val="56"/>
          <w:szCs w:val="56"/>
        </w:rPr>
      </w:pPr>
      <w:bookmarkStart w:id="0" w:name="_Toc517172907"/>
      <w:bookmarkStart w:id="1" w:name="_Toc517173001"/>
      <w:bookmarkStart w:id="2" w:name="_Toc517174562"/>
      <w:bookmarkStart w:id="3" w:name="_Toc517174874"/>
      <w:bookmarkStart w:id="4" w:name="_Toc517178382"/>
      <w:bookmarkStart w:id="5" w:name="_Toc517179316"/>
      <w:bookmarkStart w:id="6" w:name="_Toc517180067"/>
      <w:bookmarkStart w:id="7" w:name="_Toc517181159"/>
      <w:bookmarkStart w:id="8" w:name="_Toc517181615"/>
      <w:bookmarkStart w:id="9" w:name="_Toc517182260"/>
      <w:bookmarkStart w:id="10" w:name="_Toc517251060"/>
      <w:bookmarkStart w:id="11" w:name="_Toc517255789"/>
      <w:r w:rsidRPr="009603EF">
        <w:rPr>
          <w:b/>
          <w:bCs/>
          <w:color w:val="002060"/>
          <w:sz w:val="56"/>
          <w:szCs w:val="56"/>
        </w:rPr>
        <w:t xml:space="preserve">World Drug Report </w:t>
      </w:r>
      <w:bookmarkEnd w:id="0"/>
      <w:bookmarkEnd w:id="1"/>
      <w:bookmarkEnd w:id="2"/>
      <w:bookmarkEnd w:id="3"/>
      <w:bookmarkEnd w:id="4"/>
      <w:bookmarkEnd w:id="5"/>
      <w:bookmarkEnd w:id="6"/>
      <w:bookmarkEnd w:id="7"/>
      <w:bookmarkEnd w:id="8"/>
      <w:bookmarkEnd w:id="9"/>
      <w:bookmarkEnd w:id="10"/>
      <w:bookmarkEnd w:id="11"/>
      <w:r w:rsidR="00B31280" w:rsidRPr="009603EF">
        <w:rPr>
          <w:b/>
          <w:bCs/>
          <w:color w:val="002060"/>
          <w:sz w:val="56"/>
          <w:szCs w:val="56"/>
        </w:rPr>
        <w:t>202</w:t>
      </w:r>
      <w:r w:rsidR="004E0228">
        <w:rPr>
          <w:b/>
          <w:bCs/>
          <w:color w:val="002060"/>
          <w:sz w:val="56"/>
          <w:szCs w:val="56"/>
        </w:rPr>
        <w:t>3</w:t>
      </w:r>
    </w:p>
    <w:p w:rsidR="0000625E" w:rsidRPr="009603EF" w:rsidRDefault="0000625E" w:rsidP="00C359F7">
      <w:pPr>
        <w:jc w:val="center"/>
        <w:rPr>
          <w:b/>
          <w:bCs/>
          <w:color w:val="002060"/>
          <w:sz w:val="56"/>
          <w:szCs w:val="56"/>
        </w:rPr>
      </w:pPr>
      <w:r w:rsidRPr="009603EF">
        <w:rPr>
          <w:b/>
          <w:bCs/>
          <w:color w:val="002060"/>
          <w:sz w:val="56"/>
          <w:szCs w:val="56"/>
        </w:rPr>
        <w:t>Methodolog</w:t>
      </w:r>
      <w:r w:rsidR="00352872" w:rsidRPr="009603EF">
        <w:rPr>
          <w:b/>
          <w:bCs/>
          <w:color w:val="002060"/>
          <w:sz w:val="56"/>
          <w:szCs w:val="56"/>
        </w:rPr>
        <w:t>ical Annex</w:t>
      </w:r>
    </w:p>
    <w:p w:rsidR="0000625E" w:rsidRPr="004154CA" w:rsidRDefault="0000625E" w:rsidP="009603EF"/>
    <w:p w:rsidR="0000625E" w:rsidRPr="004154CA" w:rsidRDefault="0000625E" w:rsidP="009603EF"/>
    <w:p w:rsidR="0000625E" w:rsidRPr="009603EF" w:rsidRDefault="0000625E" w:rsidP="00C359F7">
      <w:pPr>
        <w:jc w:val="center"/>
        <w:rPr>
          <w:color w:val="002060"/>
          <w:sz w:val="36"/>
          <w:szCs w:val="36"/>
        </w:rPr>
      </w:pPr>
      <w:r w:rsidRPr="009603EF">
        <w:rPr>
          <w:color w:val="002060"/>
          <w:sz w:val="36"/>
          <w:szCs w:val="36"/>
        </w:rPr>
        <w:t>Research and Trend Analysis Branch</w:t>
      </w:r>
    </w:p>
    <w:p w:rsidR="0000625E" w:rsidRPr="009603EF" w:rsidRDefault="0000625E" w:rsidP="00C359F7">
      <w:pPr>
        <w:jc w:val="center"/>
        <w:rPr>
          <w:color w:val="002060"/>
          <w:sz w:val="36"/>
          <w:szCs w:val="36"/>
        </w:rPr>
      </w:pPr>
      <w:r w:rsidRPr="009603EF">
        <w:rPr>
          <w:color w:val="002060"/>
          <w:sz w:val="36"/>
          <w:szCs w:val="36"/>
        </w:rPr>
        <w:t>UNODC</w:t>
      </w:r>
      <w:r w:rsidR="00BD7775" w:rsidRPr="009603EF">
        <w:rPr>
          <w:color w:val="002060"/>
          <w:sz w:val="36"/>
          <w:szCs w:val="36"/>
        </w:rPr>
        <w:t>, Vienna</w:t>
      </w:r>
    </w:p>
    <w:p w:rsidR="0000625E" w:rsidRPr="0036585D" w:rsidRDefault="0000625E" w:rsidP="009603EF"/>
    <w:p w:rsidR="0000625E" w:rsidRPr="0036585D" w:rsidRDefault="0000625E" w:rsidP="009603EF"/>
    <w:p w:rsidR="005125EB" w:rsidRPr="003F7DAD" w:rsidRDefault="0000625E" w:rsidP="009603EF">
      <w:pPr>
        <w:pStyle w:val="10"/>
      </w:pPr>
      <w:r w:rsidRPr="0092693B">
        <w:br w:type="page"/>
      </w:r>
      <w:r w:rsidR="00EB08D0" w:rsidRPr="003F7DAD">
        <w:lastRenderedPageBreak/>
        <w:t>Table of Contents</w:t>
      </w:r>
    </w:p>
    <w:p w:rsidR="00931056" w:rsidRPr="005B59EE" w:rsidRDefault="00E32DAC">
      <w:pPr>
        <w:pStyle w:val="10"/>
        <w:rPr>
          <w:rFonts w:ascii="Calibri" w:eastAsia="DengXian" w:hAnsi="Calibri" w:cs="Arial"/>
          <w:color w:val="auto"/>
          <w:sz w:val="22"/>
          <w:szCs w:val="22"/>
          <w:lang w:eastAsia="zh-CN"/>
        </w:rPr>
      </w:pPr>
      <w:r w:rsidRPr="00E32DAC">
        <w:fldChar w:fldCharType="begin"/>
      </w:r>
      <w:r w:rsidR="00564FE1" w:rsidRPr="0036585D">
        <w:instrText xml:space="preserve"> TOC \o "1-3" \h \z \u </w:instrText>
      </w:r>
      <w:r w:rsidRPr="00E32DAC">
        <w:fldChar w:fldCharType="separate"/>
      </w:r>
      <w:hyperlink w:anchor="_Toc108702198" w:history="1">
        <w:r w:rsidR="00931056" w:rsidRPr="00F54819">
          <w:rPr>
            <w:rStyle w:val="a9"/>
          </w:rPr>
          <w:t>1.</w:t>
        </w:r>
        <w:r w:rsidR="00931056" w:rsidRPr="005B59EE">
          <w:rPr>
            <w:rFonts w:ascii="Calibri" w:eastAsia="DengXian" w:hAnsi="Calibri" w:cs="Arial"/>
            <w:color w:val="auto"/>
            <w:sz w:val="22"/>
            <w:szCs w:val="22"/>
            <w:lang w:eastAsia="zh-CN"/>
          </w:rPr>
          <w:tab/>
        </w:r>
        <w:r w:rsidR="00931056" w:rsidRPr="00F54819">
          <w:rPr>
            <w:rStyle w:val="a9"/>
          </w:rPr>
          <w:t>Introduction</w:t>
        </w:r>
        <w:r w:rsidR="00931056">
          <w:rPr>
            <w:webHidden/>
          </w:rPr>
          <w:tab/>
        </w:r>
        <w:r>
          <w:rPr>
            <w:webHidden/>
          </w:rPr>
          <w:fldChar w:fldCharType="begin"/>
        </w:r>
        <w:r w:rsidR="00931056">
          <w:rPr>
            <w:webHidden/>
          </w:rPr>
          <w:instrText xml:space="preserve"> PAGEREF _Toc108702198 \h </w:instrText>
        </w:r>
        <w:r>
          <w:rPr>
            <w:webHidden/>
          </w:rPr>
        </w:r>
        <w:r>
          <w:rPr>
            <w:webHidden/>
          </w:rPr>
          <w:fldChar w:fldCharType="separate"/>
        </w:r>
        <w:r w:rsidR="00931056">
          <w:rPr>
            <w:webHidden/>
          </w:rPr>
          <w:t>5</w:t>
        </w:r>
        <w:r>
          <w:rPr>
            <w:webHidden/>
          </w:rPr>
          <w:fldChar w:fldCharType="end"/>
        </w:r>
      </w:hyperlink>
    </w:p>
    <w:p w:rsidR="00931056" w:rsidRPr="005B59EE" w:rsidRDefault="00E32DAC">
      <w:pPr>
        <w:pStyle w:val="20"/>
        <w:rPr>
          <w:rFonts w:ascii="Calibri" w:eastAsia="DengXian" w:hAnsi="Calibri" w:cs="Arial"/>
          <w:noProof/>
          <w:sz w:val="22"/>
          <w:szCs w:val="22"/>
          <w:lang w:eastAsia="zh-CN"/>
        </w:rPr>
      </w:pPr>
      <w:hyperlink w:anchor="_Toc108702199" w:history="1">
        <w:r w:rsidR="00931056" w:rsidRPr="00F54819">
          <w:rPr>
            <w:rStyle w:val="a9"/>
            <w:noProof/>
          </w:rPr>
          <w:t>Sources of information</w:t>
        </w:r>
        <w:r w:rsidR="00931056">
          <w:rPr>
            <w:noProof/>
            <w:webHidden/>
          </w:rPr>
          <w:tab/>
        </w:r>
        <w:r>
          <w:rPr>
            <w:noProof/>
            <w:webHidden/>
          </w:rPr>
          <w:fldChar w:fldCharType="begin"/>
        </w:r>
        <w:r w:rsidR="00931056">
          <w:rPr>
            <w:noProof/>
            <w:webHidden/>
          </w:rPr>
          <w:instrText xml:space="preserve"> PAGEREF _Toc108702199 \h </w:instrText>
        </w:r>
        <w:r>
          <w:rPr>
            <w:noProof/>
            <w:webHidden/>
          </w:rPr>
        </w:r>
        <w:r>
          <w:rPr>
            <w:noProof/>
            <w:webHidden/>
          </w:rPr>
          <w:fldChar w:fldCharType="separate"/>
        </w:r>
        <w:r w:rsidR="00931056">
          <w:rPr>
            <w:noProof/>
            <w:webHidden/>
          </w:rPr>
          <w:t>5</w:t>
        </w:r>
        <w:r>
          <w:rPr>
            <w:noProof/>
            <w:webHidden/>
          </w:rPr>
          <w:fldChar w:fldCharType="end"/>
        </w:r>
      </w:hyperlink>
    </w:p>
    <w:p w:rsidR="00931056" w:rsidRPr="005B59EE" w:rsidRDefault="00E32DAC">
      <w:pPr>
        <w:pStyle w:val="10"/>
        <w:rPr>
          <w:rFonts w:ascii="Calibri" w:eastAsia="DengXian" w:hAnsi="Calibri" w:cs="Arial"/>
          <w:color w:val="auto"/>
          <w:sz w:val="22"/>
          <w:szCs w:val="22"/>
          <w:lang w:eastAsia="zh-CN"/>
        </w:rPr>
      </w:pPr>
      <w:hyperlink w:anchor="_Toc108702200" w:history="1">
        <w:r w:rsidR="00931056" w:rsidRPr="00F54819">
          <w:rPr>
            <w:rStyle w:val="a9"/>
          </w:rPr>
          <w:t>2.</w:t>
        </w:r>
        <w:r w:rsidR="00931056" w:rsidRPr="005B59EE">
          <w:rPr>
            <w:rFonts w:ascii="Calibri" w:eastAsia="DengXian" w:hAnsi="Calibri" w:cs="Arial"/>
            <w:color w:val="auto"/>
            <w:sz w:val="22"/>
            <w:szCs w:val="22"/>
            <w:lang w:eastAsia="zh-CN"/>
          </w:rPr>
          <w:tab/>
        </w:r>
        <w:r w:rsidR="00931056" w:rsidRPr="00F54819">
          <w:rPr>
            <w:rStyle w:val="a9"/>
          </w:rPr>
          <w:t>Drug use and health consequences</w:t>
        </w:r>
        <w:r w:rsidR="00931056">
          <w:rPr>
            <w:webHidden/>
          </w:rPr>
          <w:tab/>
        </w:r>
        <w:r>
          <w:rPr>
            <w:webHidden/>
          </w:rPr>
          <w:fldChar w:fldCharType="begin"/>
        </w:r>
        <w:r w:rsidR="00931056">
          <w:rPr>
            <w:webHidden/>
          </w:rPr>
          <w:instrText xml:space="preserve"> PAGEREF _Toc108702200 \h </w:instrText>
        </w:r>
        <w:r>
          <w:rPr>
            <w:webHidden/>
          </w:rPr>
        </w:r>
        <w:r>
          <w:rPr>
            <w:webHidden/>
          </w:rPr>
          <w:fldChar w:fldCharType="separate"/>
        </w:r>
        <w:r w:rsidR="00931056">
          <w:rPr>
            <w:webHidden/>
          </w:rPr>
          <w:t>8</w:t>
        </w:r>
        <w:r>
          <w:rPr>
            <w:webHidden/>
          </w:rPr>
          <w:fldChar w:fldCharType="end"/>
        </w:r>
      </w:hyperlink>
    </w:p>
    <w:p w:rsidR="00931056" w:rsidRPr="005B59EE" w:rsidRDefault="00E32DAC">
      <w:pPr>
        <w:pStyle w:val="20"/>
        <w:rPr>
          <w:rFonts w:ascii="Calibri" w:eastAsia="DengXian" w:hAnsi="Calibri" w:cs="Arial"/>
          <w:noProof/>
          <w:sz w:val="22"/>
          <w:szCs w:val="22"/>
          <w:lang w:eastAsia="zh-CN"/>
        </w:rPr>
      </w:pPr>
      <w:hyperlink w:anchor="_Toc108702201" w:history="1">
        <w:r w:rsidR="00931056" w:rsidRPr="00F54819">
          <w:rPr>
            <w:rStyle w:val="a9"/>
            <w:noProof/>
          </w:rPr>
          <w:t>Data on drug use and health consequences</w:t>
        </w:r>
        <w:r w:rsidR="00931056">
          <w:rPr>
            <w:noProof/>
            <w:webHidden/>
          </w:rPr>
          <w:tab/>
        </w:r>
        <w:r>
          <w:rPr>
            <w:noProof/>
            <w:webHidden/>
          </w:rPr>
          <w:fldChar w:fldCharType="begin"/>
        </w:r>
        <w:r w:rsidR="00931056">
          <w:rPr>
            <w:noProof/>
            <w:webHidden/>
          </w:rPr>
          <w:instrText xml:space="preserve"> PAGEREF _Toc108702201 \h </w:instrText>
        </w:r>
        <w:r>
          <w:rPr>
            <w:noProof/>
            <w:webHidden/>
          </w:rPr>
        </w:r>
        <w:r>
          <w:rPr>
            <w:noProof/>
            <w:webHidden/>
          </w:rPr>
          <w:fldChar w:fldCharType="separate"/>
        </w:r>
        <w:r w:rsidR="00931056">
          <w:rPr>
            <w:noProof/>
            <w:webHidden/>
          </w:rPr>
          <w:t>8</w:t>
        </w:r>
        <w:r>
          <w:rPr>
            <w:noProof/>
            <w:webHidden/>
          </w:rPr>
          <w:fldChar w:fldCharType="end"/>
        </w:r>
      </w:hyperlink>
    </w:p>
    <w:p w:rsidR="00931056" w:rsidRPr="005B59EE" w:rsidRDefault="00E32DAC">
      <w:pPr>
        <w:pStyle w:val="20"/>
        <w:rPr>
          <w:rFonts w:ascii="Calibri" w:eastAsia="DengXian" w:hAnsi="Calibri" w:cs="Arial"/>
          <w:noProof/>
          <w:sz w:val="22"/>
          <w:szCs w:val="22"/>
          <w:lang w:eastAsia="zh-CN"/>
        </w:rPr>
      </w:pPr>
      <w:hyperlink w:anchor="_Toc108702202" w:history="1">
        <w:r w:rsidR="00931056" w:rsidRPr="00F54819">
          <w:rPr>
            <w:rStyle w:val="a9"/>
            <w:noProof/>
          </w:rPr>
          <w:t>Indicators</w:t>
        </w:r>
        <w:r w:rsidR="00931056">
          <w:rPr>
            <w:noProof/>
            <w:webHidden/>
          </w:rPr>
          <w:tab/>
        </w:r>
        <w:r>
          <w:rPr>
            <w:noProof/>
            <w:webHidden/>
          </w:rPr>
          <w:fldChar w:fldCharType="begin"/>
        </w:r>
        <w:r w:rsidR="00931056">
          <w:rPr>
            <w:noProof/>
            <w:webHidden/>
          </w:rPr>
          <w:instrText xml:space="preserve"> PAGEREF _Toc108702202 \h </w:instrText>
        </w:r>
        <w:r>
          <w:rPr>
            <w:noProof/>
            <w:webHidden/>
          </w:rPr>
        </w:r>
        <w:r>
          <w:rPr>
            <w:noProof/>
            <w:webHidden/>
          </w:rPr>
          <w:fldChar w:fldCharType="separate"/>
        </w:r>
        <w:r w:rsidR="00931056">
          <w:rPr>
            <w:noProof/>
            <w:webHidden/>
          </w:rPr>
          <w:t>11</w:t>
        </w:r>
        <w:r>
          <w:rPr>
            <w:noProof/>
            <w:webHidden/>
          </w:rPr>
          <w:fldChar w:fldCharType="end"/>
        </w:r>
      </w:hyperlink>
    </w:p>
    <w:p w:rsidR="00931056" w:rsidRPr="005B59EE" w:rsidRDefault="00E32DAC">
      <w:pPr>
        <w:pStyle w:val="20"/>
        <w:rPr>
          <w:rFonts w:ascii="Calibri" w:eastAsia="DengXian" w:hAnsi="Calibri" w:cs="Arial"/>
          <w:noProof/>
          <w:sz w:val="22"/>
          <w:szCs w:val="22"/>
          <w:lang w:eastAsia="zh-CN"/>
        </w:rPr>
      </w:pPr>
      <w:hyperlink w:anchor="_Toc108702203" w:history="1">
        <w:r w:rsidR="00931056" w:rsidRPr="00F54819">
          <w:rPr>
            <w:rStyle w:val="a9"/>
            <w:noProof/>
          </w:rPr>
          <w:t>Extrapolation methods</w:t>
        </w:r>
        <w:r w:rsidR="00931056">
          <w:rPr>
            <w:noProof/>
            <w:webHidden/>
          </w:rPr>
          <w:tab/>
        </w:r>
        <w:r>
          <w:rPr>
            <w:noProof/>
            <w:webHidden/>
          </w:rPr>
          <w:fldChar w:fldCharType="begin"/>
        </w:r>
        <w:r w:rsidR="00931056">
          <w:rPr>
            <w:noProof/>
            <w:webHidden/>
          </w:rPr>
          <w:instrText xml:space="preserve"> PAGEREF _Toc108702203 \h </w:instrText>
        </w:r>
        <w:r>
          <w:rPr>
            <w:noProof/>
            <w:webHidden/>
          </w:rPr>
        </w:r>
        <w:r>
          <w:rPr>
            <w:noProof/>
            <w:webHidden/>
          </w:rPr>
          <w:fldChar w:fldCharType="separate"/>
        </w:r>
        <w:r w:rsidR="00931056">
          <w:rPr>
            <w:noProof/>
            <w:webHidden/>
          </w:rPr>
          <w:t>13</w:t>
        </w:r>
        <w:r>
          <w:rPr>
            <w:noProof/>
            <w:webHidden/>
          </w:rPr>
          <w:fldChar w:fldCharType="end"/>
        </w:r>
      </w:hyperlink>
    </w:p>
    <w:p w:rsidR="00931056" w:rsidRPr="005B59EE" w:rsidRDefault="00E32DAC" w:rsidP="00271E48">
      <w:pPr>
        <w:pStyle w:val="30"/>
        <w:rPr>
          <w:rFonts w:ascii="Calibri" w:eastAsia="DengXian" w:hAnsi="Calibri" w:cs="Arial"/>
          <w:sz w:val="22"/>
          <w:szCs w:val="22"/>
          <w:lang w:eastAsia="zh-CN"/>
        </w:rPr>
      </w:pPr>
      <w:hyperlink w:anchor="_Toc108702204" w:history="1">
        <w:r w:rsidR="00931056" w:rsidRPr="00F54819">
          <w:rPr>
            <w:rStyle w:val="a9"/>
          </w:rPr>
          <w:t>Adjustment for differences in age groups</w:t>
        </w:r>
        <w:r w:rsidR="00931056">
          <w:rPr>
            <w:webHidden/>
          </w:rPr>
          <w:tab/>
        </w:r>
        <w:r>
          <w:rPr>
            <w:webHidden/>
          </w:rPr>
          <w:fldChar w:fldCharType="begin"/>
        </w:r>
        <w:r w:rsidR="00931056">
          <w:rPr>
            <w:webHidden/>
          </w:rPr>
          <w:instrText xml:space="preserve"> PAGEREF _Toc108702204 \h </w:instrText>
        </w:r>
        <w:r>
          <w:rPr>
            <w:webHidden/>
          </w:rPr>
        </w:r>
        <w:r>
          <w:rPr>
            <w:webHidden/>
          </w:rPr>
          <w:fldChar w:fldCharType="separate"/>
        </w:r>
        <w:r w:rsidR="00931056">
          <w:rPr>
            <w:webHidden/>
          </w:rPr>
          <w:t>13</w:t>
        </w:r>
        <w:r>
          <w:rPr>
            <w:webHidden/>
          </w:rPr>
          <w:fldChar w:fldCharType="end"/>
        </w:r>
      </w:hyperlink>
    </w:p>
    <w:p w:rsidR="00931056" w:rsidRPr="005B59EE" w:rsidRDefault="00E32DAC" w:rsidP="00271E48">
      <w:pPr>
        <w:pStyle w:val="30"/>
        <w:rPr>
          <w:rFonts w:ascii="Calibri" w:eastAsia="DengXian" w:hAnsi="Calibri" w:cs="Arial"/>
          <w:sz w:val="22"/>
          <w:szCs w:val="22"/>
          <w:lang w:eastAsia="zh-CN"/>
        </w:rPr>
      </w:pPr>
      <w:hyperlink w:anchor="_Toc108702205" w:history="1">
        <w:r w:rsidR="00931056" w:rsidRPr="00F54819">
          <w:rPr>
            <w:rStyle w:val="a9"/>
          </w:rPr>
          <w:t>Methodology to produce joint estimates for more than one type of drugs</w:t>
        </w:r>
        <w:r w:rsidR="00931056">
          <w:rPr>
            <w:webHidden/>
          </w:rPr>
          <w:tab/>
        </w:r>
        <w:r>
          <w:rPr>
            <w:webHidden/>
          </w:rPr>
          <w:fldChar w:fldCharType="begin"/>
        </w:r>
        <w:r w:rsidR="00931056">
          <w:rPr>
            <w:webHidden/>
          </w:rPr>
          <w:instrText xml:space="preserve"> PAGEREF _Toc108702205 \h </w:instrText>
        </w:r>
        <w:r>
          <w:rPr>
            <w:webHidden/>
          </w:rPr>
        </w:r>
        <w:r>
          <w:rPr>
            <w:webHidden/>
          </w:rPr>
          <w:fldChar w:fldCharType="separate"/>
        </w:r>
        <w:r w:rsidR="00931056">
          <w:rPr>
            <w:webHidden/>
          </w:rPr>
          <w:t>13</w:t>
        </w:r>
        <w:r>
          <w:rPr>
            <w:webHidden/>
          </w:rPr>
          <w:fldChar w:fldCharType="end"/>
        </w:r>
      </w:hyperlink>
    </w:p>
    <w:p w:rsidR="00931056" w:rsidRPr="005B59EE" w:rsidRDefault="00E32DAC" w:rsidP="00271E48">
      <w:pPr>
        <w:pStyle w:val="30"/>
        <w:rPr>
          <w:rFonts w:ascii="Calibri" w:eastAsia="DengXian" w:hAnsi="Calibri" w:cs="Arial"/>
          <w:sz w:val="22"/>
          <w:szCs w:val="22"/>
          <w:lang w:eastAsia="zh-CN"/>
        </w:rPr>
      </w:pPr>
      <w:hyperlink w:anchor="_Toc108702206" w:history="1">
        <w:r w:rsidR="00931056" w:rsidRPr="00F54819">
          <w:rPr>
            <w:rStyle w:val="a9"/>
          </w:rPr>
          <w:t>Extrapolation of results from lifetime prevalence to annual prevalence</w:t>
        </w:r>
        <w:r w:rsidR="00931056">
          <w:rPr>
            <w:webHidden/>
          </w:rPr>
          <w:tab/>
        </w:r>
        <w:r>
          <w:rPr>
            <w:webHidden/>
          </w:rPr>
          <w:fldChar w:fldCharType="begin"/>
        </w:r>
        <w:r w:rsidR="00931056">
          <w:rPr>
            <w:webHidden/>
          </w:rPr>
          <w:instrText xml:space="preserve"> PAGEREF _Toc108702206 \h </w:instrText>
        </w:r>
        <w:r>
          <w:rPr>
            <w:webHidden/>
          </w:rPr>
        </w:r>
        <w:r>
          <w:rPr>
            <w:webHidden/>
          </w:rPr>
          <w:fldChar w:fldCharType="separate"/>
        </w:r>
        <w:r w:rsidR="00931056">
          <w:rPr>
            <w:webHidden/>
          </w:rPr>
          <w:t>15</w:t>
        </w:r>
        <w:r>
          <w:rPr>
            <w:webHidden/>
          </w:rPr>
          <w:fldChar w:fldCharType="end"/>
        </w:r>
      </w:hyperlink>
    </w:p>
    <w:p w:rsidR="00931056" w:rsidRPr="005B59EE" w:rsidRDefault="00E32DAC" w:rsidP="00271E48">
      <w:pPr>
        <w:pStyle w:val="30"/>
        <w:rPr>
          <w:rFonts w:ascii="Calibri" w:eastAsia="DengXian" w:hAnsi="Calibri" w:cs="Arial"/>
          <w:sz w:val="22"/>
          <w:szCs w:val="22"/>
          <w:lang w:eastAsia="zh-CN"/>
        </w:rPr>
      </w:pPr>
      <w:hyperlink w:anchor="_Toc108702207" w:history="1">
        <w:r w:rsidR="00931056" w:rsidRPr="00F54819">
          <w:rPr>
            <w:rStyle w:val="a9"/>
          </w:rPr>
          <w:t>Extrapolations based on school surveys</w:t>
        </w:r>
        <w:r w:rsidR="00931056">
          <w:rPr>
            <w:webHidden/>
          </w:rPr>
          <w:tab/>
        </w:r>
        <w:r>
          <w:rPr>
            <w:webHidden/>
          </w:rPr>
          <w:fldChar w:fldCharType="begin"/>
        </w:r>
        <w:r w:rsidR="00931056">
          <w:rPr>
            <w:webHidden/>
          </w:rPr>
          <w:instrText xml:space="preserve"> PAGEREF _Toc108702207 \h </w:instrText>
        </w:r>
        <w:r>
          <w:rPr>
            <w:webHidden/>
          </w:rPr>
        </w:r>
        <w:r>
          <w:rPr>
            <w:webHidden/>
          </w:rPr>
          <w:fldChar w:fldCharType="separate"/>
        </w:r>
        <w:r w:rsidR="00931056">
          <w:rPr>
            <w:webHidden/>
          </w:rPr>
          <w:t>17</w:t>
        </w:r>
        <w:r>
          <w:rPr>
            <w:webHidden/>
          </w:rPr>
          <w:fldChar w:fldCharType="end"/>
        </w:r>
      </w:hyperlink>
    </w:p>
    <w:p w:rsidR="00931056" w:rsidRPr="005B59EE" w:rsidRDefault="00E32DAC" w:rsidP="00271E48">
      <w:pPr>
        <w:pStyle w:val="30"/>
        <w:rPr>
          <w:rFonts w:ascii="Calibri" w:eastAsia="DengXian" w:hAnsi="Calibri" w:cs="Arial"/>
          <w:sz w:val="22"/>
          <w:szCs w:val="22"/>
          <w:lang w:eastAsia="zh-CN"/>
        </w:rPr>
      </w:pPr>
      <w:hyperlink w:anchor="_Toc108702208" w:history="1">
        <w:r w:rsidR="00931056" w:rsidRPr="00F54819">
          <w:rPr>
            <w:rStyle w:val="a9"/>
          </w:rPr>
          <w:t>Extrapolations based on treatment data</w:t>
        </w:r>
        <w:r w:rsidR="00931056">
          <w:rPr>
            <w:webHidden/>
          </w:rPr>
          <w:tab/>
        </w:r>
        <w:r>
          <w:rPr>
            <w:webHidden/>
          </w:rPr>
          <w:fldChar w:fldCharType="begin"/>
        </w:r>
        <w:r w:rsidR="00931056">
          <w:rPr>
            <w:webHidden/>
          </w:rPr>
          <w:instrText xml:space="preserve"> PAGEREF _Toc108702208 \h </w:instrText>
        </w:r>
        <w:r>
          <w:rPr>
            <w:webHidden/>
          </w:rPr>
        </w:r>
        <w:r>
          <w:rPr>
            <w:webHidden/>
          </w:rPr>
          <w:fldChar w:fldCharType="separate"/>
        </w:r>
        <w:r w:rsidR="00931056">
          <w:rPr>
            <w:webHidden/>
          </w:rPr>
          <w:t>18</w:t>
        </w:r>
        <w:r>
          <w:rPr>
            <w:webHidden/>
          </w:rPr>
          <w:fldChar w:fldCharType="end"/>
        </w:r>
      </w:hyperlink>
    </w:p>
    <w:p w:rsidR="00931056" w:rsidRPr="005B59EE" w:rsidRDefault="00E32DAC">
      <w:pPr>
        <w:pStyle w:val="20"/>
        <w:rPr>
          <w:rFonts w:ascii="Calibri" w:eastAsia="DengXian" w:hAnsi="Calibri" w:cs="Arial"/>
          <w:noProof/>
          <w:sz w:val="22"/>
          <w:szCs w:val="22"/>
          <w:lang w:eastAsia="zh-CN"/>
        </w:rPr>
      </w:pPr>
      <w:hyperlink w:anchor="_Toc108702209" w:history="1">
        <w:r w:rsidR="00931056" w:rsidRPr="00F54819">
          <w:rPr>
            <w:rStyle w:val="a9"/>
            <w:noProof/>
          </w:rPr>
          <w:t>National, regional and global estimates of the number of people who use drugs and the health consequences of drug use</w:t>
        </w:r>
        <w:r w:rsidR="00931056">
          <w:rPr>
            <w:noProof/>
            <w:webHidden/>
          </w:rPr>
          <w:tab/>
        </w:r>
        <w:r>
          <w:rPr>
            <w:noProof/>
            <w:webHidden/>
          </w:rPr>
          <w:fldChar w:fldCharType="begin"/>
        </w:r>
        <w:r w:rsidR="00931056">
          <w:rPr>
            <w:noProof/>
            <w:webHidden/>
          </w:rPr>
          <w:instrText xml:space="preserve"> PAGEREF _Toc108702209 \h </w:instrText>
        </w:r>
        <w:r>
          <w:rPr>
            <w:noProof/>
            <w:webHidden/>
          </w:rPr>
        </w:r>
        <w:r>
          <w:rPr>
            <w:noProof/>
            <w:webHidden/>
          </w:rPr>
          <w:fldChar w:fldCharType="separate"/>
        </w:r>
        <w:r w:rsidR="00931056">
          <w:rPr>
            <w:noProof/>
            <w:webHidden/>
          </w:rPr>
          <w:t>18</w:t>
        </w:r>
        <w:r>
          <w:rPr>
            <w:noProof/>
            <w:webHidden/>
          </w:rPr>
          <w:fldChar w:fldCharType="end"/>
        </w:r>
      </w:hyperlink>
    </w:p>
    <w:p w:rsidR="00931056" w:rsidRPr="005B59EE" w:rsidRDefault="00E32DAC" w:rsidP="00271E48">
      <w:pPr>
        <w:pStyle w:val="30"/>
        <w:rPr>
          <w:rFonts w:ascii="Calibri" w:eastAsia="DengXian" w:hAnsi="Calibri" w:cs="Arial"/>
          <w:sz w:val="22"/>
          <w:szCs w:val="22"/>
          <w:lang w:eastAsia="zh-CN"/>
        </w:rPr>
      </w:pPr>
      <w:hyperlink w:anchor="_Toc108702210" w:history="1">
        <w:r w:rsidR="00931056" w:rsidRPr="00F54819">
          <w:rPr>
            <w:rStyle w:val="a9"/>
          </w:rPr>
          <w:t>Estimates of the total number of people aged 15-64 who used illicit drugs at least once in the past year</w:t>
        </w:r>
        <w:r w:rsidR="00931056">
          <w:rPr>
            <w:webHidden/>
          </w:rPr>
          <w:tab/>
        </w:r>
        <w:r>
          <w:rPr>
            <w:webHidden/>
          </w:rPr>
          <w:fldChar w:fldCharType="begin"/>
        </w:r>
        <w:r w:rsidR="00931056">
          <w:rPr>
            <w:webHidden/>
          </w:rPr>
          <w:instrText xml:space="preserve"> PAGEREF _Toc108702210 \h </w:instrText>
        </w:r>
        <w:r>
          <w:rPr>
            <w:webHidden/>
          </w:rPr>
        </w:r>
        <w:r>
          <w:rPr>
            <w:webHidden/>
          </w:rPr>
          <w:fldChar w:fldCharType="separate"/>
        </w:r>
        <w:r w:rsidR="00931056">
          <w:rPr>
            <w:webHidden/>
          </w:rPr>
          <w:t>20</w:t>
        </w:r>
        <w:r>
          <w:rPr>
            <w:webHidden/>
          </w:rPr>
          <w:fldChar w:fldCharType="end"/>
        </w:r>
      </w:hyperlink>
    </w:p>
    <w:p w:rsidR="00931056" w:rsidRPr="005B59EE" w:rsidRDefault="00E32DAC" w:rsidP="00271E48">
      <w:pPr>
        <w:pStyle w:val="30"/>
        <w:rPr>
          <w:rFonts w:ascii="Calibri" w:eastAsia="DengXian" w:hAnsi="Calibri" w:cs="Arial"/>
          <w:sz w:val="22"/>
          <w:szCs w:val="22"/>
          <w:lang w:eastAsia="zh-CN"/>
        </w:rPr>
      </w:pPr>
      <w:hyperlink w:anchor="_Toc108702211" w:history="1">
        <w:r w:rsidR="00931056" w:rsidRPr="00F54819">
          <w:rPr>
            <w:rStyle w:val="a9"/>
          </w:rPr>
          <w:t>Estimates of the number of people suffering from drug use disorders</w:t>
        </w:r>
        <w:r w:rsidR="00931056">
          <w:rPr>
            <w:webHidden/>
          </w:rPr>
          <w:tab/>
        </w:r>
        <w:r>
          <w:rPr>
            <w:webHidden/>
          </w:rPr>
          <w:fldChar w:fldCharType="begin"/>
        </w:r>
        <w:r w:rsidR="00931056">
          <w:rPr>
            <w:webHidden/>
          </w:rPr>
          <w:instrText xml:space="preserve"> PAGEREF _Toc108702211 \h </w:instrText>
        </w:r>
        <w:r>
          <w:rPr>
            <w:webHidden/>
          </w:rPr>
        </w:r>
        <w:r>
          <w:rPr>
            <w:webHidden/>
          </w:rPr>
          <w:fldChar w:fldCharType="separate"/>
        </w:r>
        <w:r w:rsidR="00931056">
          <w:rPr>
            <w:webHidden/>
          </w:rPr>
          <w:t>21</w:t>
        </w:r>
        <w:r>
          <w:rPr>
            <w:webHidden/>
          </w:rPr>
          <w:fldChar w:fldCharType="end"/>
        </w:r>
      </w:hyperlink>
    </w:p>
    <w:p w:rsidR="00931056" w:rsidRPr="005B59EE" w:rsidRDefault="00E32DAC" w:rsidP="00271E48">
      <w:pPr>
        <w:pStyle w:val="30"/>
        <w:rPr>
          <w:rFonts w:ascii="Calibri" w:eastAsia="DengXian" w:hAnsi="Calibri" w:cs="Arial"/>
          <w:sz w:val="22"/>
          <w:szCs w:val="22"/>
          <w:lang w:eastAsia="zh-CN"/>
        </w:rPr>
      </w:pPr>
      <w:hyperlink w:anchor="_Toc108702212" w:history="1">
        <w:r w:rsidR="00931056" w:rsidRPr="00F54819">
          <w:rPr>
            <w:rStyle w:val="a9"/>
          </w:rPr>
          <w:t>Calculation of regional and global estimates of cannabis use among 15-16 years old students</w:t>
        </w:r>
        <w:r w:rsidR="00931056">
          <w:rPr>
            <w:webHidden/>
          </w:rPr>
          <w:tab/>
        </w:r>
        <w:r>
          <w:rPr>
            <w:webHidden/>
          </w:rPr>
          <w:fldChar w:fldCharType="begin"/>
        </w:r>
        <w:r w:rsidR="00931056">
          <w:rPr>
            <w:webHidden/>
          </w:rPr>
          <w:instrText xml:space="preserve"> PAGEREF _Toc108702212 \h </w:instrText>
        </w:r>
        <w:r>
          <w:rPr>
            <w:webHidden/>
          </w:rPr>
        </w:r>
        <w:r>
          <w:rPr>
            <w:webHidden/>
          </w:rPr>
          <w:fldChar w:fldCharType="separate"/>
        </w:r>
        <w:r w:rsidR="00931056">
          <w:rPr>
            <w:webHidden/>
          </w:rPr>
          <w:t>22</w:t>
        </w:r>
        <w:r>
          <w:rPr>
            <w:webHidden/>
          </w:rPr>
          <w:fldChar w:fldCharType="end"/>
        </w:r>
      </w:hyperlink>
    </w:p>
    <w:p w:rsidR="00931056" w:rsidRPr="005B59EE" w:rsidRDefault="00E32DAC" w:rsidP="00271E48">
      <w:pPr>
        <w:pStyle w:val="30"/>
        <w:rPr>
          <w:rFonts w:ascii="Calibri" w:eastAsia="DengXian" w:hAnsi="Calibri" w:cs="Arial"/>
          <w:sz w:val="22"/>
          <w:szCs w:val="22"/>
          <w:lang w:eastAsia="zh-CN"/>
        </w:rPr>
      </w:pPr>
      <w:hyperlink w:anchor="_Toc108702213" w:history="1">
        <w:r w:rsidR="00931056" w:rsidRPr="00F54819">
          <w:rPr>
            <w:rStyle w:val="a9"/>
          </w:rPr>
          <w:t>Estimated global cannabis use broken down by sex and age</w:t>
        </w:r>
        <w:r w:rsidR="00931056">
          <w:rPr>
            <w:webHidden/>
          </w:rPr>
          <w:tab/>
        </w:r>
        <w:r>
          <w:rPr>
            <w:webHidden/>
          </w:rPr>
          <w:fldChar w:fldCharType="begin"/>
        </w:r>
        <w:r w:rsidR="00931056">
          <w:rPr>
            <w:webHidden/>
          </w:rPr>
          <w:instrText xml:space="preserve"> PAGEREF _Toc108702213 \h </w:instrText>
        </w:r>
        <w:r>
          <w:rPr>
            <w:webHidden/>
          </w:rPr>
        </w:r>
        <w:r>
          <w:rPr>
            <w:webHidden/>
          </w:rPr>
          <w:fldChar w:fldCharType="separate"/>
        </w:r>
        <w:r w:rsidR="00931056">
          <w:rPr>
            <w:webHidden/>
          </w:rPr>
          <w:t>26</w:t>
        </w:r>
        <w:r>
          <w:rPr>
            <w:webHidden/>
          </w:rPr>
          <w:fldChar w:fldCharType="end"/>
        </w:r>
      </w:hyperlink>
    </w:p>
    <w:p w:rsidR="00931056" w:rsidRPr="005B59EE" w:rsidRDefault="00E32DAC" w:rsidP="00271E48">
      <w:pPr>
        <w:pStyle w:val="30"/>
        <w:rPr>
          <w:rFonts w:ascii="Calibri" w:eastAsia="DengXian" w:hAnsi="Calibri" w:cs="Arial"/>
          <w:sz w:val="22"/>
          <w:szCs w:val="22"/>
          <w:lang w:eastAsia="zh-CN"/>
        </w:rPr>
      </w:pPr>
      <w:hyperlink w:anchor="_Toc108702214" w:history="1">
        <w:r w:rsidR="00931056" w:rsidRPr="00F54819">
          <w:rPr>
            <w:rStyle w:val="a9"/>
          </w:rPr>
          <w:t>Estimates of the proportion of male and female users of cannabis by region and of male and female users by drug</w:t>
        </w:r>
        <w:r w:rsidR="00931056">
          <w:rPr>
            <w:webHidden/>
          </w:rPr>
          <w:tab/>
        </w:r>
        <w:r>
          <w:rPr>
            <w:webHidden/>
          </w:rPr>
          <w:fldChar w:fldCharType="begin"/>
        </w:r>
        <w:r w:rsidR="00931056">
          <w:rPr>
            <w:webHidden/>
          </w:rPr>
          <w:instrText xml:space="preserve"> PAGEREF _Toc108702214 \h </w:instrText>
        </w:r>
        <w:r>
          <w:rPr>
            <w:webHidden/>
          </w:rPr>
        </w:r>
        <w:r>
          <w:rPr>
            <w:webHidden/>
          </w:rPr>
          <w:fldChar w:fldCharType="separate"/>
        </w:r>
        <w:r w:rsidR="00931056">
          <w:rPr>
            <w:webHidden/>
          </w:rPr>
          <w:t>29</w:t>
        </w:r>
        <w:r>
          <w:rPr>
            <w:webHidden/>
          </w:rPr>
          <w:fldChar w:fldCharType="end"/>
        </w:r>
      </w:hyperlink>
    </w:p>
    <w:p w:rsidR="00931056" w:rsidRPr="005B59EE" w:rsidRDefault="00E32DAC" w:rsidP="00271E48">
      <w:pPr>
        <w:pStyle w:val="30"/>
        <w:rPr>
          <w:rFonts w:ascii="Calibri" w:eastAsia="DengXian" w:hAnsi="Calibri" w:cs="Arial"/>
          <w:sz w:val="22"/>
          <w:szCs w:val="22"/>
          <w:lang w:eastAsia="zh-CN"/>
        </w:rPr>
      </w:pPr>
      <w:hyperlink w:anchor="_Toc108702215" w:history="1">
        <w:r w:rsidR="00931056" w:rsidRPr="00F54819">
          <w:rPr>
            <w:rStyle w:val="a9"/>
          </w:rPr>
          <w:t>Estimates of the number and prevalence of people who inject drugs , HIV and hepatitis (C and B virus) among people who inject drugs (PWID)</w:t>
        </w:r>
        <w:r w:rsidR="00931056">
          <w:rPr>
            <w:webHidden/>
          </w:rPr>
          <w:tab/>
        </w:r>
        <w:r>
          <w:rPr>
            <w:webHidden/>
          </w:rPr>
          <w:fldChar w:fldCharType="begin"/>
        </w:r>
        <w:r w:rsidR="00931056">
          <w:rPr>
            <w:webHidden/>
          </w:rPr>
          <w:instrText xml:space="preserve"> PAGEREF _Toc108702215 \h </w:instrText>
        </w:r>
        <w:r>
          <w:rPr>
            <w:webHidden/>
          </w:rPr>
        </w:r>
        <w:r>
          <w:rPr>
            <w:webHidden/>
          </w:rPr>
          <w:fldChar w:fldCharType="separate"/>
        </w:r>
        <w:r w:rsidR="00931056">
          <w:rPr>
            <w:webHidden/>
          </w:rPr>
          <w:t>31</w:t>
        </w:r>
        <w:r>
          <w:rPr>
            <w:webHidden/>
          </w:rPr>
          <w:fldChar w:fldCharType="end"/>
        </w:r>
      </w:hyperlink>
    </w:p>
    <w:p w:rsidR="00931056" w:rsidRPr="005B59EE" w:rsidRDefault="00E32DAC">
      <w:pPr>
        <w:pStyle w:val="20"/>
        <w:rPr>
          <w:rFonts w:ascii="Calibri" w:eastAsia="DengXian" w:hAnsi="Calibri" w:cs="Arial"/>
          <w:noProof/>
          <w:sz w:val="22"/>
          <w:szCs w:val="22"/>
          <w:lang w:eastAsia="zh-CN"/>
        </w:rPr>
      </w:pPr>
      <w:hyperlink w:anchor="_Toc108702216" w:history="1">
        <w:r w:rsidR="00931056" w:rsidRPr="00F54819">
          <w:rPr>
            <w:rStyle w:val="a9"/>
            <w:noProof/>
          </w:rPr>
          <w:t>Estimate of total number of people in treatment for drug use disorders</w:t>
        </w:r>
        <w:r w:rsidR="00931056">
          <w:rPr>
            <w:noProof/>
            <w:webHidden/>
          </w:rPr>
          <w:tab/>
        </w:r>
        <w:r>
          <w:rPr>
            <w:noProof/>
            <w:webHidden/>
          </w:rPr>
          <w:fldChar w:fldCharType="begin"/>
        </w:r>
        <w:r w:rsidR="00931056">
          <w:rPr>
            <w:noProof/>
            <w:webHidden/>
          </w:rPr>
          <w:instrText xml:space="preserve"> PAGEREF _Toc108702216 \h </w:instrText>
        </w:r>
        <w:r>
          <w:rPr>
            <w:noProof/>
            <w:webHidden/>
          </w:rPr>
        </w:r>
        <w:r>
          <w:rPr>
            <w:noProof/>
            <w:webHidden/>
          </w:rPr>
          <w:fldChar w:fldCharType="separate"/>
        </w:r>
        <w:r w:rsidR="00931056">
          <w:rPr>
            <w:noProof/>
            <w:webHidden/>
          </w:rPr>
          <w:t>37</w:t>
        </w:r>
        <w:r>
          <w:rPr>
            <w:noProof/>
            <w:webHidden/>
          </w:rPr>
          <w:fldChar w:fldCharType="end"/>
        </w:r>
      </w:hyperlink>
    </w:p>
    <w:p w:rsidR="00931056" w:rsidRPr="005B59EE" w:rsidRDefault="00E32DAC" w:rsidP="00271E48">
      <w:pPr>
        <w:pStyle w:val="30"/>
        <w:rPr>
          <w:rFonts w:ascii="Calibri" w:eastAsia="DengXian" w:hAnsi="Calibri" w:cs="Arial"/>
          <w:sz w:val="22"/>
          <w:szCs w:val="22"/>
          <w:lang w:eastAsia="zh-CN"/>
        </w:rPr>
      </w:pPr>
      <w:hyperlink w:anchor="_Toc108702217" w:history="1">
        <w:r w:rsidR="00931056" w:rsidRPr="00F54819">
          <w:rPr>
            <w:rStyle w:val="a9"/>
          </w:rPr>
          <w:t>Calculation of trends based on qualitative information</w:t>
        </w:r>
        <w:r w:rsidR="00931056">
          <w:rPr>
            <w:webHidden/>
          </w:rPr>
          <w:tab/>
        </w:r>
        <w:r>
          <w:rPr>
            <w:webHidden/>
          </w:rPr>
          <w:fldChar w:fldCharType="begin"/>
        </w:r>
        <w:r w:rsidR="00931056">
          <w:rPr>
            <w:webHidden/>
          </w:rPr>
          <w:instrText xml:space="preserve"> PAGEREF _Toc108702217 \h </w:instrText>
        </w:r>
        <w:r>
          <w:rPr>
            <w:webHidden/>
          </w:rPr>
        </w:r>
        <w:r>
          <w:rPr>
            <w:webHidden/>
          </w:rPr>
          <w:fldChar w:fldCharType="separate"/>
        </w:r>
        <w:r w:rsidR="00931056">
          <w:rPr>
            <w:webHidden/>
          </w:rPr>
          <w:t>39</w:t>
        </w:r>
        <w:r>
          <w:rPr>
            <w:webHidden/>
          </w:rPr>
          <w:fldChar w:fldCharType="end"/>
        </w:r>
      </w:hyperlink>
    </w:p>
    <w:p w:rsidR="00931056" w:rsidRPr="005B59EE" w:rsidRDefault="00E32DAC" w:rsidP="00271E48">
      <w:pPr>
        <w:pStyle w:val="30"/>
        <w:rPr>
          <w:rFonts w:ascii="Calibri" w:eastAsia="DengXian" w:hAnsi="Calibri" w:cs="Arial"/>
          <w:sz w:val="22"/>
          <w:szCs w:val="22"/>
          <w:lang w:eastAsia="zh-CN"/>
        </w:rPr>
      </w:pPr>
      <w:hyperlink w:anchor="_Toc108702218" w:history="1">
        <w:r w:rsidR="00931056" w:rsidRPr="00F54819">
          <w:rPr>
            <w:rStyle w:val="a9"/>
          </w:rPr>
          <w:t>Trend in the treatment for cocaine use disorders (2010-2020)</w:t>
        </w:r>
        <w:r w:rsidR="00931056">
          <w:rPr>
            <w:webHidden/>
          </w:rPr>
          <w:tab/>
        </w:r>
        <w:r>
          <w:rPr>
            <w:webHidden/>
          </w:rPr>
          <w:fldChar w:fldCharType="begin"/>
        </w:r>
        <w:r w:rsidR="00931056">
          <w:rPr>
            <w:webHidden/>
          </w:rPr>
          <w:instrText xml:space="preserve"> PAGEREF _Toc108702218 \h </w:instrText>
        </w:r>
        <w:r>
          <w:rPr>
            <w:webHidden/>
          </w:rPr>
        </w:r>
        <w:r>
          <w:rPr>
            <w:webHidden/>
          </w:rPr>
          <w:fldChar w:fldCharType="separate"/>
        </w:r>
        <w:r w:rsidR="00931056">
          <w:rPr>
            <w:webHidden/>
          </w:rPr>
          <w:t>41</w:t>
        </w:r>
        <w:r>
          <w:rPr>
            <w:webHidden/>
          </w:rPr>
          <w:fldChar w:fldCharType="end"/>
        </w:r>
      </w:hyperlink>
    </w:p>
    <w:p w:rsidR="00931056" w:rsidRPr="005B59EE" w:rsidRDefault="00E32DAC">
      <w:pPr>
        <w:pStyle w:val="20"/>
        <w:rPr>
          <w:rFonts w:ascii="Calibri" w:eastAsia="DengXian" w:hAnsi="Calibri" w:cs="Arial"/>
          <w:noProof/>
          <w:sz w:val="22"/>
          <w:szCs w:val="22"/>
          <w:lang w:eastAsia="zh-CN"/>
        </w:rPr>
      </w:pPr>
      <w:hyperlink w:anchor="_Toc108702219" w:history="1">
        <w:r w:rsidR="00931056" w:rsidRPr="00F54819">
          <w:rPr>
            <w:rStyle w:val="a9"/>
            <w:noProof/>
          </w:rPr>
          <w:t>Analysis of drug consumption based on the analysis of wastewater</w:t>
        </w:r>
        <w:r w:rsidR="00931056">
          <w:rPr>
            <w:noProof/>
            <w:webHidden/>
          </w:rPr>
          <w:tab/>
        </w:r>
        <w:r>
          <w:rPr>
            <w:noProof/>
            <w:webHidden/>
          </w:rPr>
          <w:fldChar w:fldCharType="begin"/>
        </w:r>
        <w:r w:rsidR="00931056">
          <w:rPr>
            <w:noProof/>
            <w:webHidden/>
          </w:rPr>
          <w:instrText xml:space="preserve"> PAGEREF _Toc108702219 \h </w:instrText>
        </w:r>
        <w:r>
          <w:rPr>
            <w:noProof/>
            <w:webHidden/>
          </w:rPr>
        </w:r>
        <w:r>
          <w:rPr>
            <w:noProof/>
            <w:webHidden/>
          </w:rPr>
          <w:fldChar w:fldCharType="separate"/>
        </w:r>
        <w:r w:rsidR="00931056">
          <w:rPr>
            <w:noProof/>
            <w:webHidden/>
          </w:rPr>
          <w:t>42</w:t>
        </w:r>
        <w:r>
          <w:rPr>
            <w:noProof/>
            <w:webHidden/>
          </w:rPr>
          <w:fldChar w:fldCharType="end"/>
        </w:r>
      </w:hyperlink>
    </w:p>
    <w:p w:rsidR="00931056" w:rsidRPr="005B59EE" w:rsidRDefault="00E32DAC">
      <w:pPr>
        <w:pStyle w:val="10"/>
        <w:rPr>
          <w:rFonts w:ascii="Calibri" w:eastAsia="DengXian" w:hAnsi="Calibri" w:cs="Arial"/>
          <w:color w:val="auto"/>
          <w:sz w:val="22"/>
          <w:szCs w:val="22"/>
          <w:lang w:eastAsia="zh-CN"/>
        </w:rPr>
      </w:pPr>
      <w:hyperlink w:anchor="_Toc108702220" w:history="1">
        <w:r w:rsidR="00931056" w:rsidRPr="00F54819">
          <w:rPr>
            <w:rStyle w:val="a9"/>
          </w:rPr>
          <w:t>3.</w:t>
        </w:r>
        <w:r w:rsidR="00931056" w:rsidRPr="005B59EE">
          <w:rPr>
            <w:rFonts w:ascii="Calibri" w:eastAsia="DengXian" w:hAnsi="Calibri" w:cs="Arial"/>
            <w:color w:val="auto"/>
            <w:sz w:val="22"/>
            <w:szCs w:val="22"/>
            <w:lang w:eastAsia="zh-CN"/>
          </w:rPr>
          <w:tab/>
        </w:r>
        <w:r w:rsidR="00931056" w:rsidRPr="00F54819">
          <w:rPr>
            <w:rStyle w:val="a9"/>
          </w:rPr>
          <w:t>Drug cultivation, production and manufacture</w:t>
        </w:r>
        <w:r w:rsidR="00931056">
          <w:rPr>
            <w:webHidden/>
          </w:rPr>
          <w:tab/>
        </w:r>
        <w:r>
          <w:rPr>
            <w:webHidden/>
          </w:rPr>
          <w:fldChar w:fldCharType="begin"/>
        </w:r>
        <w:r w:rsidR="00931056">
          <w:rPr>
            <w:webHidden/>
          </w:rPr>
          <w:instrText xml:space="preserve"> PAGEREF _Toc108702220 \h </w:instrText>
        </w:r>
        <w:r>
          <w:rPr>
            <w:webHidden/>
          </w:rPr>
        </w:r>
        <w:r>
          <w:rPr>
            <w:webHidden/>
          </w:rPr>
          <w:fldChar w:fldCharType="separate"/>
        </w:r>
        <w:r w:rsidR="00931056">
          <w:rPr>
            <w:webHidden/>
          </w:rPr>
          <w:t>56</w:t>
        </w:r>
        <w:r>
          <w:rPr>
            <w:webHidden/>
          </w:rPr>
          <w:fldChar w:fldCharType="end"/>
        </w:r>
      </w:hyperlink>
    </w:p>
    <w:p w:rsidR="00931056" w:rsidRPr="005B59EE" w:rsidRDefault="00E32DAC">
      <w:pPr>
        <w:pStyle w:val="20"/>
        <w:rPr>
          <w:rFonts w:ascii="Calibri" w:eastAsia="DengXian" w:hAnsi="Calibri" w:cs="Arial"/>
          <w:noProof/>
          <w:sz w:val="22"/>
          <w:szCs w:val="22"/>
          <w:lang w:eastAsia="zh-CN"/>
        </w:rPr>
      </w:pPr>
      <w:hyperlink w:anchor="_Toc108702221" w:history="1">
        <w:r w:rsidR="00931056" w:rsidRPr="00F54819">
          <w:rPr>
            <w:rStyle w:val="a9"/>
            <w:noProof/>
          </w:rPr>
          <w:t>Net cultivation</w:t>
        </w:r>
        <w:r w:rsidR="00931056">
          <w:rPr>
            <w:noProof/>
            <w:webHidden/>
          </w:rPr>
          <w:tab/>
        </w:r>
        <w:r>
          <w:rPr>
            <w:noProof/>
            <w:webHidden/>
          </w:rPr>
          <w:fldChar w:fldCharType="begin"/>
        </w:r>
        <w:r w:rsidR="00931056">
          <w:rPr>
            <w:noProof/>
            <w:webHidden/>
          </w:rPr>
          <w:instrText xml:space="preserve"> PAGEREF _Toc108702221 \h </w:instrText>
        </w:r>
        <w:r>
          <w:rPr>
            <w:noProof/>
            <w:webHidden/>
          </w:rPr>
        </w:r>
        <w:r>
          <w:rPr>
            <w:noProof/>
            <w:webHidden/>
          </w:rPr>
          <w:fldChar w:fldCharType="separate"/>
        </w:r>
        <w:r w:rsidR="00931056">
          <w:rPr>
            <w:noProof/>
            <w:webHidden/>
          </w:rPr>
          <w:t>61</w:t>
        </w:r>
        <w:r>
          <w:rPr>
            <w:noProof/>
            <w:webHidden/>
          </w:rPr>
          <w:fldChar w:fldCharType="end"/>
        </w:r>
      </w:hyperlink>
    </w:p>
    <w:p w:rsidR="00931056" w:rsidRPr="005B59EE" w:rsidRDefault="00E32DAC">
      <w:pPr>
        <w:pStyle w:val="20"/>
        <w:rPr>
          <w:rFonts w:ascii="Calibri" w:eastAsia="DengXian" w:hAnsi="Calibri" w:cs="Arial"/>
          <w:noProof/>
          <w:sz w:val="22"/>
          <w:szCs w:val="22"/>
          <w:lang w:eastAsia="zh-CN"/>
        </w:rPr>
      </w:pPr>
      <w:hyperlink w:anchor="_Toc108702222" w:history="1">
        <w:r w:rsidR="00931056" w:rsidRPr="00F54819">
          <w:rPr>
            <w:rStyle w:val="a9"/>
            <w:noProof/>
          </w:rPr>
          <w:t>Indirect estimation of illicit opium poppy cultivation</w:t>
        </w:r>
        <w:r w:rsidR="00931056">
          <w:rPr>
            <w:noProof/>
            <w:webHidden/>
          </w:rPr>
          <w:tab/>
        </w:r>
        <w:r>
          <w:rPr>
            <w:noProof/>
            <w:webHidden/>
          </w:rPr>
          <w:fldChar w:fldCharType="begin"/>
        </w:r>
        <w:r w:rsidR="00931056">
          <w:rPr>
            <w:noProof/>
            <w:webHidden/>
          </w:rPr>
          <w:instrText xml:space="preserve"> PAGEREF _Toc108702222 \h </w:instrText>
        </w:r>
        <w:r>
          <w:rPr>
            <w:noProof/>
            <w:webHidden/>
          </w:rPr>
        </w:r>
        <w:r>
          <w:rPr>
            <w:noProof/>
            <w:webHidden/>
          </w:rPr>
          <w:fldChar w:fldCharType="separate"/>
        </w:r>
        <w:r w:rsidR="00931056">
          <w:rPr>
            <w:noProof/>
            <w:webHidden/>
          </w:rPr>
          <w:t>62</w:t>
        </w:r>
        <w:r>
          <w:rPr>
            <w:noProof/>
            <w:webHidden/>
          </w:rPr>
          <w:fldChar w:fldCharType="end"/>
        </w:r>
      </w:hyperlink>
    </w:p>
    <w:p w:rsidR="00931056" w:rsidRPr="005B59EE" w:rsidRDefault="00E32DAC">
      <w:pPr>
        <w:pStyle w:val="20"/>
        <w:rPr>
          <w:rFonts w:ascii="Calibri" w:eastAsia="DengXian" w:hAnsi="Calibri" w:cs="Arial"/>
          <w:noProof/>
          <w:sz w:val="22"/>
          <w:szCs w:val="22"/>
          <w:lang w:eastAsia="zh-CN"/>
        </w:rPr>
      </w:pPr>
      <w:hyperlink w:anchor="_Toc108702223" w:history="1">
        <w:r w:rsidR="00931056" w:rsidRPr="00F54819">
          <w:rPr>
            <w:rStyle w:val="a9"/>
            <w:noProof/>
          </w:rPr>
          <w:t>Yield and production</w:t>
        </w:r>
        <w:r w:rsidR="00931056">
          <w:rPr>
            <w:noProof/>
            <w:webHidden/>
          </w:rPr>
          <w:tab/>
        </w:r>
        <w:r>
          <w:rPr>
            <w:noProof/>
            <w:webHidden/>
          </w:rPr>
          <w:fldChar w:fldCharType="begin"/>
        </w:r>
        <w:r w:rsidR="00931056">
          <w:rPr>
            <w:noProof/>
            <w:webHidden/>
          </w:rPr>
          <w:instrText xml:space="preserve"> PAGEREF _Toc108702223 \h </w:instrText>
        </w:r>
        <w:r>
          <w:rPr>
            <w:noProof/>
            <w:webHidden/>
          </w:rPr>
        </w:r>
        <w:r>
          <w:rPr>
            <w:noProof/>
            <w:webHidden/>
          </w:rPr>
          <w:fldChar w:fldCharType="separate"/>
        </w:r>
        <w:r w:rsidR="00931056">
          <w:rPr>
            <w:noProof/>
            <w:webHidden/>
          </w:rPr>
          <w:t>65</w:t>
        </w:r>
        <w:r>
          <w:rPr>
            <w:noProof/>
            <w:webHidden/>
          </w:rPr>
          <w:fldChar w:fldCharType="end"/>
        </w:r>
      </w:hyperlink>
    </w:p>
    <w:p w:rsidR="00931056" w:rsidRPr="005B59EE" w:rsidRDefault="00E32DAC" w:rsidP="00271E48">
      <w:pPr>
        <w:pStyle w:val="30"/>
        <w:rPr>
          <w:rFonts w:ascii="Calibri" w:eastAsia="DengXian" w:hAnsi="Calibri" w:cs="Arial"/>
          <w:sz w:val="22"/>
          <w:szCs w:val="22"/>
          <w:lang w:eastAsia="zh-CN"/>
        </w:rPr>
      </w:pPr>
      <w:hyperlink w:anchor="_Toc108702224" w:history="1">
        <w:r w:rsidR="00931056" w:rsidRPr="00F54819">
          <w:rPr>
            <w:rStyle w:val="a9"/>
          </w:rPr>
          <w:t>Conversion factors</w:t>
        </w:r>
        <w:r w:rsidR="00931056">
          <w:rPr>
            <w:webHidden/>
          </w:rPr>
          <w:tab/>
        </w:r>
        <w:r>
          <w:rPr>
            <w:webHidden/>
          </w:rPr>
          <w:fldChar w:fldCharType="begin"/>
        </w:r>
        <w:r w:rsidR="00931056">
          <w:rPr>
            <w:webHidden/>
          </w:rPr>
          <w:instrText xml:space="preserve"> PAGEREF _Toc108702224 \h </w:instrText>
        </w:r>
        <w:r>
          <w:rPr>
            <w:webHidden/>
          </w:rPr>
        </w:r>
        <w:r>
          <w:rPr>
            <w:webHidden/>
          </w:rPr>
          <w:fldChar w:fldCharType="separate"/>
        </w:r>
        <w:r w:rsidR="00931056">
          <w:rPr>
            <w:webHidden/>
          </w:rPr>
          <w:t>66</w:t>
        </w:r>
        <w:r>
          <w:rPr>
            <w:webHidden/>
          </w:rPr>
          <w:fldChar w:fldCharType="end"/>
        </w:r>
      </w:hyperlink>
    </w:p>
    <w:p w:rsidR="00931056" w:rsidRPr="005B59EE" w:rsidRDefault="00E32DAC" w:rsidP="00271E48">
      <w:pPr>
        <w:pStyle w:val="30"/>
        <w:rPr>
          <w:rFonts w:ascii="Calibri" w:eastAsia="DengXian" w:hAnsi="Calibri" w:cs="Arial"/>
          <w:sz w:val="22"/>
          <w:szCs w:val="22"/>
          <w:lang w:eastAsia="zh-CN"/>
        </w:rPr>
      </w:pPr>
      <w:hyperlink w:anchor="_Toc108702225" w:history="1">
        <w:r w:rsidR="00931056" w:rsidRPr="00F54819">
          <w:rPr>
            <w:rStyle w:val="a9"/>
          </w:rPr>
          <w:t>“Potential” production versus “actual production”</w:t>
        </w:r>
        <w:r w:rsidR="00931056">
          <w:rPr>
            <w:webHidden/>
          </w:rPr>
          <w:tab/>
        </w:r>
        <w:r>
          <w:rPr>
            <w:webHidden/>
          </w:rPr>
          <w:fldChar w:fldCharType="begin"/>
        </w:r>
        <w:r w:rsidR="00931056">
          <w:rPr>
            <w:webHidden/>
          </w:rPr>
          <w:instrText xml:space="preserve"> PAGEREF _Toc108702225 \h </w:instrText>
        </w:r>
        <w:r>
          <w:rPr>
            <w:webHidden/>
          </w:rPr>
        </w:r>
        <w:r>
          <w:rPr>
            <w:webHidden/>
          </w:rPr>
          <w:fldChar w:fldCharType="separate"/>
        </w:r>
        <w:r w:rsidR="00931056">
          <w:rPr>
            <w:webHidden/>
          </w:rPr>
          <w:t>68</w:t>
        </w:r>
        <w:r>
          <w:rPr>
            <w:webHidden/>
          </w:rPr>
          <w:fldChar w:fldCharType="end"/>
        </w:r>
      </w:hyperlink>
    </w:p>
    <w:p w:rsidR="00931056" w:rsidRPr="005B59EE" w:rsidRDefault="00E32DAC" w:rsidP="00271E48">
      <w:pPr>
        <w:pStyle w:val="30"/>
        <w:rPr>
          <w:rFonts w:ascii="Calibri" w:eastAsia="DengXian" w:hAnsi="Calibri" w:cs="Arial"/>
          <w:sz w:val="22"/>
          <w:szCs w:val="22"/>
          <w:lang w:eastAsia="zh-CN"/>
        </w:rPr>
      </w:pPr>
      <w:hyperlink w:anchor="_Toc108702226" w:history="1">
        <w:r w:rsidR="00931056" w:rsidRPr="00F54819">
          <w:rPr>
            <w:rStyle w:val="a9"/>
          </w:rPr>
          <w:t>Purity of potential production estimates</w:t>
        </w:r>
        <w:r w:rsidR="00931056">
          <w:rPr>
            <w:webHidden/>
          </w:rPr>
          <w:tab/>
        </w:r>
        <w:r>
          <w:rPr>
            <w:webHidden/>
          </w:rPr>
          <w:fldChar w:fldCharType="begin"/>
        </w:r>
        <w:r w:rsidR="00931056">
          <w:rPr>
            <w:webHidden/>
          </w:rPr>
          <w:instrText xml:space="preserve"> PAGEREF _Toc108702226 \h </w:instrText>
        </w:r>
        <w:r>
          <w:rPr>
            <w:webHidden/>
          </w:rPr>
        </w:r>
        <w:r>
          <w:rPr>
            <w:webHidden/>
          </w:rPr>
          <w:fldChar w:fldCharType="separate"/>
        </w:r>
        <w:r w:rsidR="00931056">
          <w:rPr>
            <w:webHidden/>
          </w:rPr>
          <w:t>70</w:t>
        </w:r>
        <w:r>
          <w:rPr>
            <w:webHidden/>
          </w:rPr>
          <w:fldChar w:fldCharType="end"/>
        </w:r>
      </w:hyperlink>
    </w:p>
    <w:p w:rsidR="00931056" w:rsidRPr="005B59EE" w:rsidRDefault="00E32DAC" w:rsidP="00271E48">
      <w:pPr>
        <w:pStyle w:val="30"/>
        <w:rPr>
          <w:rFonts w:ascii="Calibri" w:eastAsia="DengXian" w:hAnsi="Calibri" w:cs="Arial"/>
          <w:sz w:val="22"/>
          <w:szCs w:val="22"/>
          <w:lang w:eastAsia="zh-CN"/>
        </w:rPr>
      </w:pPr>
      <w:hyperlink w:anchor="_Toc108702227" w:history="1">
        <w:r w:rsidR="00931056" w:rsidRPr="00F54819">
          <w:rPr>
            <w:rStyle w:val="a9"/>
          </w:rPr>
          <w:t>Country-specific estimates</w:t>
        </w:r>
        <w:r w:rsidR="00931056">
          <w:rPr>
            <w:webHidden/>
          </w:rPr>
          <w:tab/>
        </w:r>
        <w:r>
          <w:rPr>
            <w:webHidden/>
          </w:rPr>
          <w:fldChar w:fldCharType="begin"/>
        </w:r>
        <w:r w:rsidR="00931056">
          <w:rPr>
            <w:webHidden/>
          </w:rPr>
          <w:instrText xml:space="preserve"> PAGEREF _Toc108702227 \h </w:instrText>
        </w:r>
        <w:r>
          <w:rPr>
            <w:webHidden/>
          </w:rPr>
        </w:r>
        <w:r>
          <w:rPr>
            <w:webHidden/>
          </w:rPr>
          <w:fldChar w:fldCharType="separate"/>
        </w:r>
        <w:r w:rsidR="00931056">
          <w:rPr>
            <w:webHidden/>
          </w:rPr>
          <w:t>71</w:t>
        </w:r>
        <w:r>
          <w:rPr>
            <w:webHidden/>
          </w:rPr>
          <w:fldChar w:fldCharType="end"/>
        </w:r>
      </w:hyperlink>
    </w:p>
    <w:p w:rsidR="00931056" w:rsidRPr="005B59EE" w:rsidRDefault="00E32DAC" w:rsidP="00271E48">
      <w:pPr>
        <w:pStyle w:val="30"/>
        <w:rPr>
          <w:rFonts w:ascii="Calibri" w:eastAsia="DengXian" w:hAnsi="Calibri" w:cs="Arial"/>
          <w:sz w:val="22"/>
          <w:szCs w:val="22"/>
          <w:lang w:eastAsia="zh-CN"/>
        </w:rPr>
      </w:pPr>
      <w:hyperlink w:anchor="_Toc108702228" w:history="1">
        <w:r w:rsidR="00931056" w:rsidRPr="00F54819">
          <w:rPr>
            <w:rStyle w:val="a9"/>
          </w:rPr>
          <w:t>“Old” versus “new” conversion ratios for cocaine</w:t>
        </w:r>
        <w:r w:rsidR="00931056">
          <w:rPr>
            <w:webHidden/>
          </w:rPr>
          <w:tab/>
        </w:r>
        <w:r>
          <w:rPr>
            <w:webHidden/>
          </w:rPr>
          <w:fldChar w:fldCharType="begin"/>
        </w:r>
        <w:r w:rsidR="00931056">
          <w:rPr>
            <w:webHidden/>
          </w:rPr>
          <w:instrText xml:space="preserve"> PAGEREF _Toc108702228 \h </w:instrText>
        </w:r>
        <w:r>
          <w:rPr>
            <w:webHidden/>
          </w:rPr>
        </w:r>
        <w:r>
          <w:rPr>
            <w:webHidden/>
          </w:rPr>
          <w:fldChar w:fldCharType="separate"/>
        </w:r>
        <w:r w:rsidR="00931056">
          <w:rPr>
            <w:webHidden/>
          </w:rPr>
          <w:t>73</w:t>
        </w:r>
        <w:r>
          <w:rPr>
            <w:webHidden/>
          </w:rPr>
          <w:fldChar w:fldCharType="end"/>
        </w:r>
      </w:hyperlink>
    </w:p>
    <w:p w:rsidR="00931056" w:rsidRPr="005B59EE" w:rsidRDefault="00E32DAC">
      <w:pPr>
        <w:pStyle w:val="20"/>
        <w:rPr>
          <w:rFonts w:ascii="Calibri" w:eastAsia="DengXian" w:hAnsi="Calibri" w:cs="Arial"/>
          <w:noProof/>
          <w:sz w:val="22"/>
          <w:szCs w:val="22"/>
          <w:lang w:eastAsia="zh-CN"/>
        </w:rPr>
      </w:pPr>
      <w:hyperlink w:anchor="_Toc108702229" w:history="1">
        <w:r w:rsidR="00931056" w:rsidRPr="00F54819">
          <w:rPr>
            <w:rStyle w:val="a9"/>
            <w:noProof/>
          </w:rPr>
          <w:t>Sustainable solutions for reducing illicit drug crop cultivation: the effects of forced and voluntary eradication on coca bush cultivation in Colombia</w:t>
        </w:r>
        <w:r w:rsidR="00931056">
          <w:rPr>
            <w:noProof/>
            <w:webHidden/>
          </w:rPr>
          <w:tab/>
        </w:r>
        <w:r>
          <w:rPr>
            <w:noProof/>
            <w:webHidden/>
          </w:rPr>
          <w:fldChar w:fldCharType="begin"/>
        </w:r>
        <w:r w:rsidR="00931056">
          <w:rPr>
            <w:noProof/>
            <w:webHidden/>
          </w:rPr>
          <w:instrText xml:space="preserve"> PAGEREF _Toc108702229 \h </w:instrText>
        </w:r>
        <w:r>
          <w:rPr>
            <w:noProof/>
            <w:webHidden/>
          </w:rPr>
        </w:r>
        <w:r>
          <w:rPr>
            <w:noProof/>
            <w:webHidden/>
          </w:rPr>
          <w:fldChar w:fldCharType="separate"/>
        </w:r>
        <w:r w:rsidR="00931056">
          <w:rPr>
            <w:noProof/>
            <w:webHidden/>
          </w:rPr>
          <w:t>74</w:t>
        </w:r>
        <w:r>
          <w:rPr>
            <w:noProof/>
            <w:webHidden/>
          </w:rPr>
          <w:fldChar w:fldCharType="end"/>
        </w:r>
      </w:hyperlink>
    </w:p>
    <w:p w:rsidR="00931056" w:rsidRPr="005B59EE" w:rsidRDefault="00E32DAC">
      <w:pPr>
        <w:pStyle w:val="10"/>
        <w:rPr>
          <w:rFonts w:ascii="Calibri" w:eastAsia="DengXian" w:hAnsi="Calibri" w:cs="Arial"/>
          <w:color w:val="auto"/>
          <w:sz w:val="22"/>
          <w:szCs w:val="22"/>
          <w:lang w:eastAsia="zh-CN"/>
        </w:rPr>
      </w:pPr>
      <w:hyperlink w:anchor="_Toc108702230" w:history="1">
        <w:r w:rsidR="00931056" w:rsidRPr="00F54819">
          <w:rPr>
            <w:rStyle w:val="a9"/>
          </w:rPr>
          <w:t>4.</w:t>
        </w:r>
        <w:r w:rsidR="00931056" w:rsidRPr="005B59EE">
          <w:rPr>
            <w:rFonts w:ascii="Calibri" w:eastAsia="DengXian" w:hAnsi="Calibri" w:cs="Arial"/>
            <w:color w:val="auto"/>
            <w:sz w:val="22"/>
            <w:szCs w:val="22"/>
            <w:lang w:eastAsia="zh-CN"/>
          </w:rPr>
          <w:tab/>
        </w:r>
        <w:r w:rsidR="00931056" w:rsidRPr="00F54819">
          <w:rPr>
            <w:rStyle w:val="a9"/>
          </w:rPr>
          <w:t>Drug trafficking</w:t>
        </w:r>
        <w:r w:rsidR="00931056">
          <w:rPr>
            <w:webHidden/>
          </w:rPr>
          <w:tab/>
        </w:r>
        <w:r>
          <w:rPr>
            <w:webHidden/>
          </w:rPr>
          <w:fldChar w:fldCharType="begin"/>
        </w:r>
        <w:r w:rsidR="00931056">
          <w:rPr>
            <w:webHidden/>
          </w:rPr>
          <w:instrText xml:space="preserve"> PAGEREF _Toc108702230 \h </w:instrText>
        </w:r>
        <w:r>
          <w:rPr>
            <w:webHidden/>
          </w:rPr>
        </w:r>
        <w:r>
          <w:rPr>
            <w:webHidden/>
          </w:rPr>
          <w:fldChar w:fldCharType="separate"/>
        </w:r>
        <w:r w:rsidR="00931056">
          <w:rPr>
            <w:webHidden/>
          </w:rPr>
          <w:t>75</w:t>
        </w:r>
        <w:r>
          <w:rPr>
            <w:webHidden/>
          </w:rPr>
          <w:fldChar w:fldCharType="end"/>
        </w:r>
      </w:hyperlink>
    </w:p>
    <w:p w:rsidR="00931056" w:rsidRPr="005B59EE" w:rsidRDefault="00E32DAC">
      <w:pPr>
        <w:pStyle w:val="20"/>
        <w:rPr>
          <w:rFonts w:ascii="Calibri" w:eastAsia="DengXian" w:hAnsi="Calibri" w:cs="Arial"/>
          <w:noProof/>
          <w:sz w:val="22"/>
          <w:szCs w:val="22"/>
          <w:lang w:eastAsia="zh-CN"/>
        </w:rPr>
      </w:pPr>
      <w:hyperlink w:anchor="_Toc108702231" w:history="1">
        <w:r w:rsidR="00931056" w:rsidRPr="00F54819">
          <w:rPr>
            <w:rStyle w:val="a9"/>
            <w:noProof/>
          </w:rPr>
          <w:t>Seizures</w:t>
        </w:r>
        <w:r w:rsidR="00931056">
          <w:rPr>
            <w:noProof/>
            <w:webHidden/>
          </w:rPr>
          <w:tab/>
        </w:r>
        <w:r>
          <w:rPr>
            <w:noProof/>
            <w:webHidden/>
          </w:rPr>
          <w:fldChar w:fldCharType="begin"/>
        </w:r>
        <w:r w:rsidR="00931056">
          <w:rPr>
            <w:noProof/>
            <w:webHidden/>
          </w:rPr>
          <w:instrText xml:space="preserve"> PAGEREF _Toc108702231 \h </w:instrText>
        </w:r>
        <w:r>
          <w:rPr>
            <w:noProof/>
            <w:webHidden/>
          </w:rPr>
        </w:r>
        <w:r>
          <w:rPr>
            <w:noProof/>
            <w:webHidden/>
          </w:rPr>
          <w:fldChar w:fldCharType="separate"/>
        </w:r>
        <w:r w:rsidR="00931056">
          <w:rPr>
            <w:noProof/>
            <w:webHidden/>
          </w:rPr>
          <w:t>75</w:t>
        </w:r>
        <w:r>
          <w:rPr>
            <w:noProof/>
            <w:webHidden/>
          </w:rPr>
          <w:fldChar w:fldCharType="end"/>
        </w:r>
      </w:hyperlink>
    </w:p>
    <w:p w:rsidR="00931056" w:rsidRPr="005B59EE" w:rsidRDefault="00E32DAC">
      <w:pPr>
        <w:pStyle w:val="20"/>
        <w:rPr>
          <w:rFonts w:ascii="Calibri" w:eastAsia="DengXian" w:hAnsi="Calibri" w:cs="Arial"/>
          <w:noProof/>
          <w:sz w:val="22"/>
          <w:szCs w:val="22"/>
          <w:lang w:eastAsia="zh-CN"/>
        </w:rPr>
      </w:pPr>
      <w:hyperlink w:anchor="_Toc108702232" w:history="1">
        <w:r w:rsidR="00931056" w:rsidRPr="00F54819">
          <w:rPr>
            <w:rStyle w:val="a9"/>
            <w:noProof/>
          </w:rPr>
          <w:t>Trafficking routes and volumes</w:t>
        </w:r>
        <w:r w:rsidR="00931056">
          <w:rPr>
            <w:noProof/>
            <w:webHidden/>
          </w:rPr>
          <w:tab/>
        </w:r>
        <w:r>
          <w:rPr>
            <w:noProof/>
            <w:webHidden/>
          </w:rPr>
          <w:fldChar w:fldCharType="begin"/>
        </w:r>
        <w:r w:rsidR="00931056">
          <w:rPr>
            <w:noProof/>
            <w:webHidden/>
          </w:rPr>
          <w:instrText xml:space="preserve"> PAGEREF _Toc108702232 \h </w:instrText>
        </w:r>
        <w:r>
          <w:rPr>
            <w:noProof/>
            <w:webHidden/>
          </w:rPr>
        </w:r>
        <w:r>
          <w:rPr>
            <w:noProof/>
            <w:webHidden/>
          </w:rPr>
          <w:fldChar w:fldCharType="separate"/>
        </w:r>
        <w:r w:rsidR="00931056">
          <w:rPr>
            <w:noProof/>
            <w:webHidden/>
          </w:rPr>
          <w:t>82</w:t>
        </w:r>
        <w:r>
          <w:rPr>
            <w:noProof/>
            <w:webHidden/>
          </w:rPr>
          <w:fldChar w:fldCharType="end"/>
        </w:r>
      </w:hyperlink>
    </w:p>
    <w:p w:rsidR="00931056" w:rsidRPr="005B59EE" w:rsidRDefault="00E32DAC" w:rsidP="00271E48">
      <w:pPr>
        <w:pStyle w:val="30"/>
        <w:rPr>
          <w:rFonts w:ascii="Calibri" w:eastAsia="DengXian" w:hAnsi="Calibri" w:cs="Arial"/>
          <w:sz w:val="22"/>
          <w:szCs w:val="22"/>
          <w:lang w:eastAsia="zh-CN"/>
        </w:rPr>
      </w:pPr>
      <w:hyperlink w:anchor="_Toc108702233" w:history="1">
        <w:r w:rsidR="00931056" w:rsidRPr="00F54819">
          <w:rPr>
            <w:rStyle w:val="a9"/>
          </w:rPr>
          <w:t>Main trafficking routes as described by reported seizures</w:t>
        </w:r>
        <w:r w:rsidR="00931056">
          <w:rPr>
            <w:webHidden/>
          </w:rPr>
          <w:tab/>
        </w:r>
        <w:r>
          <w:rPr>
            <w:webHidden/>
          </w:rPr>
          <w:fldChar w:fldCharType="begin"/>
        </w:r>
        <w:r w:rsidR="00931056">
          <w:rPr>
            <w:webHidden/>
          </w:rPr>
          <w:instrText xml:space="preserve"> PAGEREF _Toc108702233 \h </w:instrText>
        </w:r>
        <w:r>
          <w:rPr>
            <w:webHidden/>
          </w:rPr>
        </w:r>
        <w:r>
          <w:rPr>
            <w:webHidden/>
          </w:rPr>
          <w:fldChar w:fldCharType="separate"/>
        </w:r>
        <w:r w:rsidR="00931056">
          <w:rPr>
            <w:webHidden/>
          </w:rPr>
          <w:t>84</w:t>
        </w:r>
        <w:r>
          <w:rPr>
            <w:webHidden/>
          </w:rPr>
          <w:fldChar w:fldCharType="end"/>
        </w:r>
      </w:hyperlink>
    </w:p>
    <w:p w:rsidR="00931056" w:rsidRPr="005B59EE" w:rsidRDefault="00E32DAC">
      <w:pPr>
        <w:pStyle w:val="20"/>
        <w:rPr>
          <w:rFonts w:ascii="Calibri" w:eastAsia="DengXian" w:hAnsi="Calibri" w:cs="Arial"/>
          <w:noProof/>
          <w:sz w:val="22"/>
          <w:szCs w:val="22"/>
          <w:lang w:eastAsia="zh-CN"/>
        </w:rPr>
      </w:pPr>
      <w:hyperlink w:anchor="_Toc108702234" w:history="1">
        <w:r w:rsidR="00931056" w:rsidRPr="00F54819">
          <w:rPr>
            <w:rStyle w:val="a9"/>
            <w:noProof/>
          </w:rPr>
          <w:t>Drug price and purity data</w:t>
        </w:r>
        <w:r w:rsidR="00931056">
          <w:rPr>
            <w:noProof/>
            <w:webHidden/>
          </w:rPr>
          <w:tab/>
        </w:r>
        <w:r>
          <w:rPr>
            <w:noProof/>
            <w:webHidden/>
          </w:rPr>
          <w:fldChar w:fldCharType="begin"/>
        </w:r>
        <w:r w:rsidR="00931056">
          <w:rPr>
            <w:noProof/>
            <w:webHidden/>
          </w:rPr>
          <w:instrText xml:space="preserve"> PAGEREF _Toc108702234 \h </w:instrText>
        </w:r>
        <w:r>
          <w:rPr>
            <w:noProof/>
            <w:webHidden/>
          </w:rPr>
        </w:r>
        <w:r>
          <w:rPr>
            <w:noProof/>
            <w:webHidden/>
          </w:rPr>
          <w:fldChar w:fldCharType="separate"/>
        </w:r>
        <w:r w:rsidR="00931056">
          <w:rPr>
            <w:noProof/>
            <w:webHidden/>
          </w:rPr>
          <w:t>84</w:t>
        </w:r>
        <w:r>
          <w:rPr>
            <w:noProof/>
            <w:webHidden/>
          </w:rPr>
          <w:fldChar w:fldCharType="end"/>
        </w:r>
      </w:hyperlink>
    </w:p>
    <w:p w:rsidR="00931056" w:rsidRPr="005B59EE" w:rsidRDefault="00E32DAC" w:rsidP="00271E48">
      <w:pPr>
        <w:pStyle w:val="30"/>
        <w:rPr>
          <w:rFonts w:ascii="Calibri" w:eastAsia="DengXian" w:hAnsi="Calibri" w:cs="Arial"/>
          <w:sz w:val="22"/>
          <w:szCs w:val="22"/>
          <w:lang w:eastAsia="zh-CN"/>
        </w:rPr>
      </w:pPr>
      <w:hyperlink w:anchor="_Toc108702235" w:history="1">
        <w:r w:rsidR="00931056" w:rsidRPr="00F54819">
          <w:rPr>
            <w:rStyle w:val="a9"/>
          </w:rPr>
          <w:t>Standardized prices of cocaine and heroin in the United States and Western Europe</w:t>
        </w:r>
        <w:r w:rsidR="00931056">
          <w:rPr>
            <w:webHidden/>
          </w:rPr>
          <w:tab/>
        </w:r>
        <w:r>
          <w:rPr>
            <w:webHidden/>
          </w:rPr>
          <w:fldChar w:fldCharType="begin"/>
        </w:r>
        <w:r w:rsidR="00931056">
          <w:rPr>
            <w:webHidden/>
          </w:rPr>
          <w:instrText xml:space="preserve"> PAGEREF _Toc108702235 \h </w:instrText>
        </w:r>
        <w:r>
          <w:rPr>
            <w:webHidden/>
          </w:rPr>
        </w:r>
        <w:r>
          <w:rPr>
            <w:webHidden/>
          </w:rPr>
          <w:fldChar w:fldCharType="separate"/>
        </w:r>
        <w:r w:rsidR="00931056">
          <w:rPr>
            <w:webHidden/>
          </w:rPr>
          <w:t>85</w:t>
        </w:r>
        <w:r>
          <w:rPr>
            <w:webHidden/>
          </w:rPr>
          <w:fldChar w:fldCharType="end"/>
        </w:r>
      </w:hyperlink>
    </w:p>
    <w:p w:rsidR="00931056" w:rsidRPr="005B59EE" w:rsidRDefault="00E32DAC">
      <w:pPr>
        <w:pStyle w:val="20"/>
        <w:rPr>
          <w:rFonts w:ascii="Calibri" w:eastAsia="DengXian" w:hAnsi="Calibri" w:cs="Arial"/>
          <w:noProof/>
          <w:sz w:val="22"/>
          <w:szCs w:val="22"/>
          <w:lang w:eastAsia="zh-CN"/>
        </w:rPr>
      </w:pPr>
      <w:hyperlink w:anchor="_Toc108702236" w:history="1">
        <w:r w:rsidR="00931056" w:rsidRPr="00F54819">
          <w:rPr>
            <w:rStyle w:val="a9"/>
            <w:noProof/>
          </w:rPr>
          <w:t>Trafficking of drugs on the dark-web</w:t>
        </w:r>
        <w:r w:rsidR="00931056">
          <w:rPr>
            <w:noProof/>
            <w:webHidden/>
          </w:rPr>
          <w:tab/>
        </w:r>
        <w:r>
          <w:rPr>
            <w:noProof/>
            <w:webHidden/>
          </w:rPr>
          <w:fldChar w:fldCharType="begin"/>
        </w:r>
        <w:r w:rsidR="00931056">
          <w:rPr>
            <w:noProof/>
            <w:webHidden/>
          </w:rPr>
          <w:instrText xml:space="preserve"> PAGEREF _Toc108702236 \h </w:instrText>
        </w:r>
        <w:r>
          <w:rPr>
            <w:noProof/>
            <w:webHidden/>
          </w:rPr>
        </w:r>
        <w:r>
          <w:rPr>
            <w:noProof/>
            <w:webHidden/>
          </w:rPr>
          <w:fldChar w:fldCharType="separate"/>
        </w:r>
        <w:r w:rsidR="00931056">
          <w:rPr>
            <w:noProof/>
            <w:webHidden/>
          </w:rPr>
          <w:t>87</w:t>
        </w:r>
        <w:r>
          <w:rPr>
            <w:noProof/>
            <w:webHidden/>
          </w:rPr>
          <w:fldChar w:fldCharType="end"/>
        </w:r>
      </w:hyperlink>
    </w:p>
    <w:p w:rsidR="00931056" w:rsidRPr="005B59EE" w:rsidRDefault="00931056" w:rsidP="004B6C86">
      <w:pPr>
        <w:pStyle w:val="30"/>
        <w:rPr>
          <w:rFonts w:ascii="Calibri" w:eastAsia="DengXian" w:hAnsi="Calibri" w:cs="Arial"/>
          <w:sz w:val="22"/>
          <w:szCs w:val="22"/>
          <w:lang w:eastAsia="zh-CN"/>
        </w:rPr>
      </w:pPr>
    </w:p>
    <w:p w:rsidR="00564FE1" w:rsidRPr="0092693B" w:rsidRDefault="00E32DAC" w:rsidP="00F16E68">
      <w:r w:rsidRPr="0092693B">
        <w:rPr>
          <w:noProof/>
        </w:rPr>
        <w:fldChar w:fldCharType="end"/>
      </w:r>
    </w:p>
    <w:p w:rsidR="00CC10FA" w:rsidRPr="0036585D" w:rsidRDefault="00CC10FA" w:rsidP="009603EF">
      <w:pPr>
        <w:sectPr w:rsidR="00CC10FA" w:rsidRPr="0036585D" w:rsidSect="0029324D">
          <w:headerReference w:type="default" r:id="rId11"/>
          <w:footerReference w:type="default" r:id="rId12"/>
          <w:headerReference w:type="first" r:id="rId13"/>
          <w:pgSz w:w="11907" w:h="16840" w:code="9"/>
          <w:pgMar w:top="1699" w:right="1440" w:bottom="1440" w:left="1440" w:header="706" w:footer="706" w:gutter="0"/>
          <w:pgNumType w:start="0"/>
          <w:cols w:space="708"/>
          <w:titlePg/>
          <w:docGrid w:linePitch="326"/>
        </w:sectPr>
      </w:pPr>
    </w:p>
    <w:p w:rsidR="00DE51A0" w:rsidRPr="0036585D" w:rsidRDefault="00DE51A0" w:rsidP="009603EF">
      <w:pPr>
        <w:pStyle w:val="1"/>
        <w:numPr>
          <w:ilvl w:val="0"/>
          <w:numId w:val="19"/>
        </w:numPr>
      </w:pPr>
      <w:bookmarkStart w:id="12" w:name="_Toc517172908"/>
      <w:bookmarkStart w:id="13" w:name="_Toc517173002"/>
      <w:bookmarkStart w:id="14" w:name="_Toc108702198"/>
      <w:r w:rsidRPr="0036585D">
        <w:lastRenderedPageBreak/>
        <w:t>Introduction</w:t>
      </w:r>
      <w:bookmarkEnd w:id="12"/>
      <w:bookmarkEnd w:id="13"/>
      <w:bookmarkEnd w:id="14"/>
    </w:p>
    <w:p w:rsidR="00D358AE" w:rsidRPr="0036585D" w:rsidRDefault="00D358AE" w:rsidP="00F16E68">
      <w:r w:rsidRPr="0092693B">
        <w:t xml:space="preserve">Considerable efforts have been made over the years to improve the estimates presented in the </w:t>
      </w:r>
      <w:r w:rsidRPr="0092693B">
        <w:rPr>
          <w:i/>
        </w:rPr>
        <w:t>World Drug Report,</w:t>
      </w:r>
      <w:r w:rsidRPr="0092693B">
        <w:t xml:space="preserve"> which rely, to a large extent, on information submitted by Member States through the Annual Report</w:t>
      </w:r>
      <w:r w:rsidR="00A91F0B" w:rsidRPr="0085745A">
        <w:t>s</w:t>
      </w:r>
      <w:r w:rsidRPr="0085745A">
        <w:t xml:space="preserve"> Questionnaire (ARQ)</w:t>
      </w:r>
      <w:r w:rsidRPr="0085745A">
        <w:rPr>
          <w:i/>
        </w:rPr>
        <w:t>.</w:t>
      </w:r>
      <w:r w:rsidRPr="002E1D6F">
        <w:t xml:space="preserve"> Nonetheless, challenges remain in </w:t>
      </w:r>
      <w:r w:rsidR="00EE3D6F" w:rsidRPr="002E1D6F">
        <w:t xml:space="preserve">producing </w:t>
      </w:r>
      <w:r w:rsidRPr="002E1D6F">
        <w:t xml:space="preserve">such estimates because of the </w:t>
      </w:r>
      <w:r w:rsidR="0017697F" w:rsidRPr="0036585D">
        <w:t xml:space="preserve">gaps and the </w:t>
      </w:r>
      <w:r w:rsidRPr="0036585D">
        <w:t>varying quality</w:t>
      </w:r>
      <w:r w:rsidR="00EE3D6F" w:rsidRPr="0036585D">
        <w:t xml:space="preserve"> in </w:t>
      </w:r>
      <w:r w:rsidRPr="0036585D">
        <w:t xml:space="preserve">the available data. One major problem is the </w:t>
      </w:r>
      <w:r w:rsidR="00EE3D6F" w:rsidRPr="0036585D">
        <w:t xml:space="preserve">heterogeneity in the </w:t>
      </w:r>
      <w:r w:rsidR="006F18D2" w:rsidRPr="0036585D">
        <w:t xml:space="preserve">completeness </w:t>
      </w:r>
      <w:r w:rsidR="00EE3D6F" w:rsidRPr="0036585D">
        <w:t>and</w:t>
      </w:r>
      <w:r w:rsidR="00266762" w:rsidRPr="0036585D">
        <w:t xml:space="preserve"> the</w:t>
      </w:r>
      <w:r w:rsidR="00EE3D6F" w:rsidRPr="0036585D">
        <w:t xml:space="preserve"> time frame of data coverage </w:t>
      </w:r>
      <w:r w:rsidRPr="0036585D">
        <w:t>in ARQ</w:t>
      </w:r>
      <w:r w:rsidR="00EE3D6F" w:rsidRPr="0036585D">
        <w:t>s</w:t>
      </w:r>
      <w:r w:rsidRPr="0036585D">
        <w:t xml:space="preserve"> report</w:t>
      </w:r>
      <w:r w:rsidR="00EE3D6F" w:rsidRPr="0036585D">
        <w:t>ed</w:t>
      </w:r>
      <w:r w:rsidRPr="0036585D">
        <w:t xml:space="preserve"> by Member States. Irregular reporting may result in absence of data for some years and may </w:t>
      </w:r>
      <w:r w:rsidR="00671AC3" w:rsidRPr="0036585D">
        <w:t xml:space="preserve">also </w:t>
      </w:r>
      <w:r w:rsidRPr="0036585D">
        <w:t>influence the reported trend in</w:t>
      </w:r>
      <w:r w:rsidR="00EE3D6F" w:rsidRPr="0036585D">
        <w:t xml:space="preserve"> </w:t>
      </w:r>
      <w:r w:rsidRPr="0036585D">
        <w:t xml:space="preserve">a given year. </w:t>
      </w:r>
      <w:r w:rsidR="00EE3D6F" w:rsidRPr="0036585D">
        <w:t>In addition</w:t>
      </w:r>
      <w:r w:rsidRPr="0036585D">
        <w:t>, submitted questionnaires are not always comprehensive, and much</w:t>
      </w:r>
      <w:r w:rsidR="009C6275" w:rsidRPr="0036585D">
        <w:t xml:space="preserve"> </w:t>
      </w:r>
      <w:r w:rsidRPr="0036585D">
        <w:t xml:space="preserve">of the data collected are subject to limitations and biases. These issues affect the reliability, quality and comparability of the information received. </w:t>
      </w:r>
    </w:p>
    <w:p w:rsidR="00D358AE" w:rsidRPr="009E2C12" w:rsidRDefault="00D358AE" w:rsidP="009603EF">
      <w:pPr>
        <w:pStyle w:val="2"/>
      </w:pPr>
      <w:bookmarkStart w:id="15" w:name="_Toc517172909"/>
      <w:bookmarkStart w:id="16" w:name="_Toc517173003"/>
      <w:bookmarkStart w:id="17" w:name="_Toc108702199"/>
      <w:r w:rsidRPr="009E2C12">
        <w:t>Sources of information</w:t>
      </w:r>
      <w:bookmarkEnd w:id="15"/>
      <w:bookmarkEnd w:id="16"/>
      <w:bookmarkEnd w:id="17"/>
    </w:p>
    <w:p w:rsidR="00E667B0" w:rsidRPr="0036585D" w:rsidRDefault="00FC21B6" w:rsidP="00F16E68">
      <w:r w:rsidRPr="0092693B">
        <w:t xml:space="preserve">Under the International Drug Conventions, Member States are formally required to provide national drug control related information annually to the ‘Secretary General’ of the United Nations (i.e. the Secretariat </w:t>
      </w:r>
      <w:r w:rsidR="00A5531F" w:rsidRPr="0092693B">
        <w:t xml:space="preserve">in the </w:t>
      </w:r>
      <w:r w:rsidRPr="0085745A">
        <w:t xml:space="preserve">UNODC). For this purpose, the Commission on Narcotic Drugs </w:t>
      </w:r>
      <w:r w:rsidR="00A5531F" w:rsidRPr="0085745A">
        <w:t>in</w:t>
      </w:r>
      <w:r w:rsidR="003A53D8">
        <w:t xml:space="preserve"> 2020 </w:t>
      </w:r>
      <w:r w:rsidR="00A5531F" w:rsidRPr="0085745A">
        <w:t xml:space="preserve">endorsed </w:t>
      </w:r>
      <w:r w:rsidRPr="002E1D6F">
        <w:t xml:space="preserve">the </w:t>
      </w:r>
      <w:r w:rsidR="00A5531F" w:rsidRPr="002E1D6F">
        <w:t xml:space="preserve">revised </w:t>
      </w:r>
      <w:r w:rsidRPr="002E1D6F">
        <w:t>Annual Report</w:t>
      </w:r>
      <w:r w:rsidR="00A91F0B" w:rsidRPr="0036585D">
        <w:t>s</w:t>
      </w:r>
      <w:r w:rsidRPr="0036585D">
        <w:t xml:space="preserve"> Questionnaire (ARQ) </w:t>
      </w:r>
      <w:r w:rsidR="00A91F0B" w:rsidRPr="0036585D">
        <w:t xml:space="preserve">that is sent to Member States </w:t>
      </w:r>
      <w:r w:rsidR="00A5531F" w:rsidRPr="0036585D">
        <w:t xml:space="preserve">each calendar year </w:t>
      </w:r>
      <w:r w:rsidR="00A91F0B" w:rsidRPr="0036585D">
        <w:t>for</w:t>
      </w:r>
      <w:r w:rsidR="00A5531F" w:rsidRPr="0036585D">
        <w:t xml:space="preserve"> submission of </w:t>
      </w:r>
      <w:r w:rsidR="00A91F0B" w:rsidRPr="0036585D">
        <w:t xml:space="preserve">responses </w:t>
      </w:r>
      <w:r w:rsidR="00A5531F" w:rsidRPr="0036585D">
        <w:t>and information on the drug situation.</w:t>
      </w:r>
    </w:p>
    <w:p w:rsidR="002907DC" w:rsidRPr="0036585D" w:rsidRDefault="00FC21B6" w:rsidP="00F16E68">
      <w:r w:rsidRPr="0036585D">
        <w:t xml:space="preserve">The World Drug Report </w:t>
      </w:r>
      <w:r w:rsidR="00482335" w:rsidRPr="0036585D">
        <w:t>20</w:t>
      </w:r>
      <w:r w:rsidR="00482335">
        <w:t>2</w:t>
      </w:r>
      <w:r w:rsidR="0065652D">
        <w:t>3</w:t>
      </w:r>
      <w:r w:rsidR="00482335" w:rsidRPr="0036585D">
        <w:t xml:space="preserve"> </w:t>
      </w:r>
      <w:r w:rsidR="0065652D">
        <w:t xml:space="preserve">online </w:t>
      </w:r>
      <w:r w:rsidR="00486F84">
        <w:t xml:space="preserve">segment </w:t>
      </w:r>
      <w:r w:rsidRPr="0036585D">
        <w:t xml:space="preserve">is based on data </w:t>
      </w:r>
      <w:r w:rsidR="00A5531F" w:rsidRPr="0036585D">
        <w:t xml:space="preserve">primarily </w:t>
      </w:r>
      <w:r w:rsidRPr="0036585D">
        <w:t>obtained from the ARQ</w:t>
      </w:r>
      <w:r w:rsidR="00AC41C4" w:rsidRPr="0036585D">
        <w:t>s</w:t>
      </w:r>
      <w:r w:rsidRPr="0036585D">
        <w:t xml:space="preserve"> </w:t>
      </w:r>
      <w:r w:rsidR="00AC41C4" w:rsidRPr="0036585D">
        <w:t xml:space="preserve">submitted </w:t>
      </w:r>
      <w:r w:rsidRPr="0036585D">
        <w:t>by Governments to UNODC.</w:t>
      </w:r>
      <w:r w:rsidR="00F03302">
        <w:t xml:space="preserve"> In 2020, the ARQ was updated and streamlined</w:t>
      </w:r>
      <w:r w:rsidR="00897A85">
        <w:rPr>
          <w:rStyle w:val="a4"/>
        </w:rPr>
        <w:footnoteReference w:id="2"/>
      </w:r>
      <w:r w:rsidR="00F03302">
        <w:t xml:space="preserve"> and the data collection was fully moved to an online interface, created specifically for this purpose. The first time the data was collected in the online environment was in 2021 (present cycle of data collection). This may have led to some additional challenges in data comparability with the previous years.</w:t>
      </w:r>
      <w:r w:rsidRPr="0036585D">
        <w:t xml:space="preserve"> The data collected </w:t>
      </w:r>
      <w:r w:rsidR="000E6653" w:rsidRPr="0036585D">
        <w:t xml:space="preserve">in the current ARQ </w:t>
      </w:r>
      <w:r w:rsidRPr="0036585D">
        <w:t xml:space="preserve">normally refer to the drug situation in </w:t>
      </w:r>
      <w:r w:rsidR="008B333F">
        <w:t>2021.</w:t>
      </w:r>
      <w:r w:rsidRPr="0036585D">
        <w:t>.</w:t>
      </w:r>
      <w:r w:rsidR="00AE2D2D" w:rsidRPr="0036585D">
        <w:t xml:space="preserve"> Out of </w:t>
      </w:r>
      <w:r w:rsidR="00DA6099">
        <w:t>200</w:t>
      </w:r>
      <w:r w:rsidR="00DA6099" w:rsidRPr="0036585D">
        <w:t xml:space="preserve"> </w:t>
      </w:r>
      <w:r w:rsidR="00AE2D2D" w:rsidRPr="0036585D">
        <w:t xml:space="preserve">potential respondents to the </w:t>
      </w:r>
      <w:r w:rsidR="00AE2D2D" w:rsidRPr="0036585D">
        <w:lastRenderedPageBreak/>
        <w:t xml:space="preserve">ARQ for </w:t>
      </w:r>
      <w:r w:rsidR="004F5198">
        <w:t>2</w:t>
      </w:r>
      <w:r w:rsidR="008978F2" w:rsidRPr="0036585D">
        <w:t>0</w:t>
      </w:r>
      <w:r w:rsidR="008978F2">
        <w:t>2</w:t>
      </w:r>
      <w:r w:rsidR="00787287">
        <w:t>1</w:t>
      </w:r>
      <w:r w:rsidR="008978F2" w:rsidRPr="0036585D">
        <w:t xml:space="preserve"> </w:t>
      </w:r>
      <w:r w:rsidR="00AE2D2D" w:rsidRPr="0036585D">
        <w:t xml:space="preserve">(including 193 Member States), </w:t>
      </w:r>
      <w:r w:rsidRPr="0036585D">
        <w:t xml:space="preserve">UNODC </w:t>
      </w:r>
      <w:r w:rsidRPr="00E62FA0">
        <w:t xml:space="preserve">received </w:t>
      </w:r>
      <w:r w:rsidR="00247562">
        <w:t>84</w:t>
      </w:r>
      <w:r w:rsidR="00247562" w:rsidRPr="00E62FA0">
        <w:t xml:space="preserve"> </w:t>
      </w:r>
      <w:r w:rsidR="00831806" w:rsidRPr="00E62FA0">
        <w:t>full</w:t>
      </w:r>
      <w:r w:rsidR="00727C75" w:rsidRPr="00E62FA0">
        <w:t xml:space="preserve"> </w:t>
      </w:r>
      <w:r w:rsidRPr="00E62FA0">
        <w:t>replies</w:t>
      </w:r>
      <w:r w:rsidR="00831806" w:rsidRPr="00E62FA0">
        <w:t xml:space="preserve"> –</w:t>
      </w:r>
      <w:r w:rsidR="00831806">
        <w:t xml:space="preserve"> submission of all updated and streamlined ARQ modules and </w:t>
      </w:r>
      <w:r w:rsidR="00A64110">
        <w:t xml:space="preserve">41 </w:t>
      </w:r>
      <w:r w:rsidR="00831806">
        <w:t>partial replies (submission of part of the ARQ modules)</w:t>
      </w:r>
      <w:r w:rsidRPr="0036585D">
        <w:t xml:space="preserve"> to its</w:t>
      </w:r>
      <w:r w:rsidR="00831806">
        <w:t xml:space="preserve"> Annual Reports Questionnaire</w:t>
      </w:r>
      <w:r w:rsidRPr="00E62FA0">
        <w:t xml:space="preserve">. </w:t>
      </w:r>
      <w:r w:rsidR="00AC41C4" w:rsidRPr="00E62FA0">
        <w:t>Europe, had the best coverage</w:t>
      </w:r>
      <w:r w:rsidRPr="00E62FA0">
        <w:t xml:space="preserve"> </w:t>
      </w:r>
      <w:r w:rsidR="00AC41C4" w:rsidRPr="00E62FA0">
        <w:t>(</w:t>
      </w:r>
      <w:r w:rsidR="00475844" w:rsidRPr="00E62FA0">
        <w:t>64</w:t>
      </w:r>
      <w:r w:rsidR="00DA6099" w:rsidRPr="00E62FA0">
        <w:t xml:space="preserve"> </w:t>
      </w:r>
      <w:r w:rsidRPr="00E62FA0">
        <w:t xml:space="preserve">per cent of the </w:t>
      </w:r>
      <w:r w:rsidR="00C87240" w:rsidRPr="00E62FA0">
        <w:t>respondents provid</w:t>
      </w:r>
      <w:r w:rsidRPr="00E62FA0">
        <w:t>ed</w:t>
      </w:r>
      <w:r w:rsidR="00C87240" w:rsidRPr="00E62FA0">
        <w:t xml:space="preserve"> a</w:t>
      </w:r>
      <w:r w:rsidR="00831806" w:rsidRPr="00E62FA0">
        <w:t xml:space="preserve"> full</w:t>
      </w:r>
      <w:r w:rsidR="00C87240" w:rsidRPr="00E62FA0">
        <w:t xml:space="preserve"> reply</w:t>
      </w:r>
      <w:r w:rsidR="00831806" w:rsidRPr="00E62FA0">
        <w:t xml:space="preserve">, while </w:t>
      </w:r>
      <w:r w:rsidR="004621A7">
        <w:t>24</w:t>
      </w:r>
      <w:r w:rsidR="004621A7" w:rsidRPr="00E62FA0">
        <w:t xml:space="preserve"> </w:t>
      </w:r>
      <w:r w:rsidR="00831806" w:rsidRPr="00E62FA0">
        <w:t>provided partial response</w:t>
      </w:r>
      <w:r w:rsidR="00C87240" w:rsidRPr="00E62FA0">
        <w:t>)</w:t>
      </w:r>
      <w:r w:rsidRPr="00E62FA0">
        <w:t xml:space="preserve">, </w:t>
      </w:r>
      <w:r w:rsidR="00AC41C4" w:rsidRPr="00E62FA0">
        <w:t xml:space="preserve">followed by </w:t>
      </w:r>
      <w:r w:rsidRPr="00E62FA0">
        <w:t xml:space="preserve">Asia </w:t>
      </w:r>
      <w:r w:rsidR="00C87240" w:rsidRPr="00E62FA0">
        <w:t>(</w:t>
      </w:r>
      <w:r w:rsidR="006C518D">
        <w:t>4</w:t>
      </w:r>
      <w:r w:rsidR="00475844" w:rsidRPr="00E62FA0">
        <w:t>8</w:t>
      </w:r>
      <w:r w:rsidR="00727C75" w:rsidRPr="00E62FA0">
        <w:t xml:space="preserve"> </w:t>
      </w:r>
      <w:r w:rsidRPr="00E62FA0">
        <w:t>per cent</w:t>
      </w:r>
      <w:r w:rsidR="00831806" w:rsidRPr="00E62FA0">
        <w:t xml:space="preserve"> and </w:t>
      </w:r>
      <w:r w:rsidR="00475844" w:rsidRPr="00E62FA0">
        <w:t xml:space="preserve"> </w:t>
      </w:r>
      <w:r w:rsidR="00C56BCF">
        <w:t>22</w:t>
      </w:r>
      <w:r w:rsidR="00831806" w:rsidRPr="00E62FA0">
        <w:t xml:space="preserve"> per cent</w:t>
      </w:r>
      <w:r w:rsidR="00C87240" w:rsidRPr="00E62FA0">
        <w:t>)</w:t>
      </w:r>
      <w:r w:rsidRPr="00E62FA0">
        <w:t xml:space="preserve"> and </w:t>
      </w:r>
      <w:r w:rsidR="00C87240" w:rsidRPr="00E62FA0">
        <w:t>the</w:t>
      </w:r>
      <w:r w:rsidRPr="00E62FA0">
        <w:t xml:space="preserve"> Americas </w:t>
      </w:r>
      <w:r w:rsidR="00C87240" w:rsidRPr="00E62FA0">
        <w:t>(</w:t>
      </w:r>
      <w:r w:rsidR="00C56BCF">
        <w:t>4</w:t>
      </w:r>
      <w:r w:rsidR="00475844" w:rsidRPr="00E62FA0">
        <w:t>6</w:t>
      </w:r>
      <w:r w:rsidR="00727C75" w:rsidRPr="00E62FA0">
        <w:t xml:space="preserve"> </w:t>
      </w:r>
      <w:r w:rsidRPr="00E62FA0">
        <w:t>per cent</w:t>
      </w:r>
      <w:r w:rsidR="00831806" w:rsidRPr="00E62FA0">
        <w:t xml:space="preserve"> and </w:t>
      </w:r>
      <w:r w:rsidR="00C56BCF">
        <w:t>23</w:t>
      </w:r>
      <w:r w:rsidR="00831806" w:rsidRPr="00E62FA0">
        <w:t xml:space="preserve"> per cent</w:t>
      </w:r>
      <w:r w:rsidR="00C87240" w:rsidRPr="00E62FA0">
        <w:t>)</w:t>
      </w:r>
      <w:r w:rsidRPr="00E62FA0">
        <w:t>.</w:t>
      </w:r>
      <w:r w:rsidR="00CE601F" w:rsidRPr="00E62FA0">
        <w:t xml:space="preserve"> </w:t>
      </w:r>
      <w:r w:rsidRPr="00E62FA0">
        <w:t xml:space="preserve"> In the case of Africa,</w:t>
      </w:r>
      <w:r w:rsidR="00095631" w:rsidRPr="00E62FA0">
        <w:t xml:space="preserve"> </w:t>
      </w:r>
      <w:r w:rsidR="00546536">
        <w:t>42</w:t>
      </w:r>
      <w:r w:rsidR="002C504C" w:rsidRPr="00E62FA0">
        <w:t xml:space="preserve"> </w:t>
      </w:r>
      <w:r w:rsidRPr="00E62FA0">
        <w:t>per cent</w:t>
      </w:r>
      <w:r w:rsidR="00CE601F" w:rsidRPr="00E62FA0">
        <w:t xml:space="preserve"> </w:t>
      </w:r>
      <w:r w:rsidRPr="00E62FA0">
        <w:t>of the Member States</w:t>
      </w:r>
      <w:r w:rsidR="00C87240" w:rsidRPr="00E62FA0">
        <w:t>,</w:t>
      </w:r>
      <w:r w:rsidRPr="00E62FA0">
        <w:t xml:space="preserve"> and in the Oceania region, only </w:t>
      </w:r>
      <w:r w:rsidR="00331804" w:rsidRPr="00E62FA0">
        <w:t xml:space="preserve">two </w:t>
      </w:r>
      <w:r w:rsidRPr="00E62FA0">
        <w:t>out of the 1</w:t>
      </w:r>
      <w:r w:rsidR="00C87240" w:rsidRPr="00E62FA0">
        <w:t>6</w:t>
      </w:r>
      <w:r w:rsidRPr="00E62FA0">
        <w:t xml:space="preserve"> countries</w:t>
      </w:r>
      <w:r w:rsidR="00C87240" w:rsidRPr="00E62FA0">
        <w:t>,</w:t>
      </w:r>
      <w:r w:rsidRPr="00E62FA0">
        <w:t xml:space="preserve"> responded to the Annual Report Questionnaire.</w:t>
      </w:r>
      <w:r w:rsidRPr="0036585D">
        <w:t xml:space="preserve">  </w:t>
      </w:r>
    </w:p>
    <w:p w:rsidR="00FC21B6" w:rsidRPr="0036585D" w:rsidRDefault="00FC21B6" w:rsidP="00F16E68">
      <w:r w:rsidRPr="0036585D">
        <w:t xml:space="preserve">In general, the quantity of information provided on illicit drug supply is </w:t>
      </w:r>
      <w:r w:rsidR="0045335E">
        <w:t>slightly</w:t>
      </w:r>
      <w:r w:rsidR="0045335E" w:rsidRPr="0036585D">
        <w:t xml:space="preserve"> </w:t>
      </w:r>
      <w:r w:rsidRPr="0036585D">
        <w:t xml:space="preserve">better than </w:t>
      </w:r>
      <w:r w:rsidR="000E6653" w:rsidRPr="0036585D">
        <w:t xml:space="preserve">that of information </w:t>
      </w:r>
      <w:r w:rsidRPr="0036585D">
        <w:t xml:space="preserve">provided on drug </w:t>
      </w:r>
      <w:r w:rsidR="000E6653" w:rsidRPr="0036585D">
        <w:t>demand</w:t>
      </w:r>
      <w:r w:rsidRPr="0036585D">
        <w:t xml:space="preserve">. </w:t>
      </w:r>
      <w:r w:rsidR="002C504C">
        <w:t xml:space="preserve"> </w:t>
      </w:r>
    </w:p>
    <w:p w:rsidR="00FC21B6" w:rsidRPr="0036585D" w:rsidRDefault="00FC21B6" w:rsidP="00F16E68">
      <w:r w:rsidRPr="0036585D">
        <w:t xml:space="preserve">In order to </w:t>
      </w:r>
      <w:r w:rsidR="004C3678" w:rsidRPr="0036585D">
        <w:t>analyse</w:t>
      </w:r>
      <w:r w:rsidRPr="0036585D">
        <w:t xml:space="preserve"> the extent to which Member States provided information, a number of key questions in the ARQ were identified:</w:t>
      </w:r>
    </w:p>
    <w:p w:rsidR="00FC21B6" w:rsidRPr="009603EF" w:rsidRDefault="00FC21B6" w:rsidP="00F16E68">
      <w:pPr>
        <w:pStyle w:val="Bullets"/>
        <w:rPr>
          <w:rFonts w:ascii="Times New Roman" w:eastAsia="Times New Roman" w:hAnsi="Times New Roman"/>
          <w:sz w:val="24"/>
          <w:lang w:eastAsia="en-US"/>
        </w:rPr>
      </w:pPr>
      <w:r w:rsidRPr="009603EF">
        <w:rPr>
          <w:rFonts w:ascii="Times New Roman" w:eastAsia="Times New Roman" w:hAnsi="Times New Roman"/>
          <w:sz w:val="24"/>
          <w:lang w:eastAsia="en-US"/>
        </w:rPr>
        <w:t>For</w:t>
      </w:r>
      <w:r w:rsidR="003E08E1" w:rsidRPr="009603EF">
        <w:rPr>
          <w:rFonts w:ascii="Times New Roman" w:eastAsia="Times New Roman" w:hAnsi="Times New Roman"/>
          <w:sz w:val="24"/>
          <w:lang w:eastAsia="en-US"/>
        </w:rPr>
        <w:t xml:space="preserve"> drug demand</w:t>
      </w:r>
      <w:r w:rsidRPr="009603EF">
        <w:rPr>
          <w:rFonts w:ascii="Times New Roman" w:eastAsia="Times New Roman" w:hAnsi="Times New Roman"/>
          <w:sz w:val="24"/>
          <w:lang w:eastAsia="en-US"/>
        </w:rPr>
        <w:t xml:space="preserve">, </w:t>
      </w:r>
      <w:r w:rsidR="003E08E1" w:rsidRPr="009603EF">
        <w:rPr>
          <w:rFonts w:ascii="Times New Roman" w:eastAsia="Times New Roman" w:hAnsi="Times New Roman"/>
          <w:sz w:val="24"/>
          <w:lang w:eastAsia="en-US"/>
        </w:rPr>
        <w:t xml:space="preserve">data was collected mainly in annual modules A01-A06. </w:t>
      </w:r>
      <w:r w:rsidR="000F7177" w:rsidRPr="009603EF">
        <w:rPr>
          <w:rFonts w:ascii="Times New Roman" w:eastAsia="Times New Roman" w:hAnsi="Times New Roman"/>
          <w:sz w:val="24"/>
          <w:lang w:eastAsia="en-US"/>
        </w:rPr>
        <w:t xml:space="preserve">In total, </w:t>
      </w:r>
      <w:r w:rsidR="00B96F67" w:rsidRPr="009603EF">
        <w:rPr>
          <w:rFonts w:ascii="Times New Roman" w:eastAsia="Times New Roman" w:hAnsi="Times New Roman"/>
          <w:sz w:val="24"/>
          <w:lang w:eastAsia="en-US"/>
        </w:rPr>
        <w:t>1</w:t>
      </w:r>
      <w:r w:rsidR="00B96F67">
        <w:rPr>
          <w:rFonts w:ascii="Times New Roman" w:eastAsia="Times New Roman" w:hAnsi="Times New Roman"/>
          <w:sz w:val="24"/>
          <w:lang w:eastAsia="en-US"/>
        </w:rPr>
        <w:t>15</w:t>
      </w:r>
      <w:r w:rsidR="00B96F67" w:rsidRPr="009603EF">
        <w:rPr>
          <w:rFonts w:ascii="Times New Roman" w:eastAsia="Times New Roman" w:hAnsi="Times New Roman"/>
          <w:sz w:val="24"/>
          <w:lang w:eastAsia="en-US"/>
        </w:rPr>
        <w:t xml:space="preserve"> </w:t>
      </w:r>
      <w:r w:rsidR="000F7177" w:rsidRPr="009603EF">
        <w:rPr>
          <w:rFonts w:ascii="Times New Roman" w:eastAsia="Times New Roman" w:hAnsi="Times New Roman"/>
          <w:sz w:val="24"/>
          <w:lang w:eastAsia="en-US"/>
        </w:rPr>
        <w:t xml:space="preserve">countries submitted the modules on registries and prevalence of drug use, </w:t>
      </w:r>
      <w:r w:rsidR="000A2AEF" w:rsidRPr="009603EF">
        <w:rPr>
          <w:rFonts w:ascii="Times New Roman" w:eastAsia="Times New Roman" w:hAnsi="Times New Roman"/>
          <w:sz w:val="24"/>
          <w:lang w:eastAsia="en-US"/>
        </w:rPr>
        <w:t>10</w:t>
      </w:r>
      <w:r w:rsidR="000A2AEF">
        <w:rPr>
          <w:rFonts w:ascii="Times New Roman" w:eastAsia="Times New Roman" w:hAnsi="Times New Roman"/>
          <w:sz w:val="24"/>
          <w:lang w:eastAsia="en-US"/>
        </w:rPr>
        <w:t>8</w:t>
      </w:r>
      <w:r w:rsidR="000A2AEF" w:rsidRPr="009603EF">
        <w:rPr>
          <w:rFonts w:ascii="Times New Roman" w:eastAsia="Times New Roman" w:hAnsi="Times New Roman"/>
          <w:sz w:val="24"/>
          <w:lang w:eastAsia="en-US"/>
        </w:rPr>
        <w:t xml:space="preserve"> </w:t>
      </w:r>
      <w:r w:rsidR="000F7177" w:rsidRPr="009603EF">
        <w:rPr>
          <w:rFonts w:ascii="Times New Roman" w:eastAsia="Times New Roman" w:hAnsi="Times New Roman"/>
          <w:sz w:val="24"/>
          <w:lang w:eastAsia="en-US"/>
        </w:rPr>
        <w:t xml:space="preserve">the module on mortality, </w:t>
      </w:r>
      <w:r w:rsidR="000A2AEF">
        <w:rPr>
          <w:rFonts w:ascii="Times New Roman" w:eastAsia="Times New Roman" w:hAnsi="Times New Roman"/>
          <w:sz w:val="24"/>
          <w:lang w:eastAsia="en-US"/>
        </w:rPr>
        <w:t>112</w:t>
      </w:r>
      <w:r w:rsidR="000A2AEF" w:rsidRPr="009603EF">
        <w:rPr>
          <w:rFonts w:ascii="Times New Roman" w:eastAsia="Times New Roman" w:hAnsi="Times New Roman"/>
          <w:sz w:val="24"/>
          <w:lang w:eastAsia="en-US"/>
        </w:rPr>
        <w:t xml:space="preserve"> </w:t>
      </w:r>
      <w:r w:rsidR="000F7177" w:rsidRPr="009603EF">
        <w:rPr>
          <w:rFonts w:ascii="Times New Roman" w:eastAsia="Times New Roman" w:hAnsi="Times New Roman"/>
          <w:sz w:val="24"/>
          <w:lang w:eastAsia="en-US"/>
        </w:rPr>
        <w:t xml:space="preserve">the module on people with drug use disorders, and </w:t>
      </w:r>
      <w:r w:rsidR="00247CA5">
        <w:rPr>
          <w:rFonts w:ascii="Times New Roman" w:eastAsia="Times New Roman" w:hAnsi="Times New Roman"/>
          <w:sz w:val="24"/>
          <w:lang w:eastAsia="en-US"/>
        </w:rPr>
        <w:t xml:space="preserve">109 </w:t>
      </w:r>
      <w:r w:rsidR="000F7177" w:rsidRPr="009603EF">
        <w:rPr>
          <w:rFonts w:ascii="Times New Roman" w:eastAsia="Times New Roman" w:hAnsi="Times New Roman"/>
          <w:sz w:val="24"/>
          <w:lang w:eastAsia="en-US"/>
        </w:rPr>
        <w:t xml:space="preserve">the modules on people who inject drugs and treatment. </w:t>
      </w:r>
      <w:r w:rsidR="00974463" w:rsidRPr="009603EF">
        <w:rPr>
          <w:rFonts w:ascii="Times New Roman" w:eastAsia="Times New Roman" w:hAnsi="Times New Roman"/>
          <w:sz w:val="24"/>
          <w:lang w:eastAsia="en-US"/>
        </w:rPr>
        <w:t xml:space="preserve"> </w:t>
      </w:r>
      <w:r w:rsidR="00105000" w:rsidRPr="009603EF">
        <w:rPr>
          <w:rFonts w:ascii="Times New Roman" w:eastAsia="Times New Roman" w:hAnsi="Times New Roman"/>
          <w:sz w:val="24"/>
          <w:lang w:eastAsia="en-US"/>
        </w:rPr>
        <w:t>H</w:t>
      </w:r>
      <w:r w:rsidR="00095F1A" w:rsidRPr="009603EF">
        <w:rPr>
          <w:rFonts w:ascii="Times New Roman" w:eastAsia="Times New Roman" w:hAnsi="Times New Roman"/>
          <w:sz w:val="24"/>
          <w:lang w:eastAsia="en-US"/>
        </w:rPr>
        <w:t>owever</w:t>
      </w:r>
      <w:r w:rsidR="00105000" w:rsidRPr="009603EF">
        <w:rPr>
          <w:rFonts w:ascii="Times New Roman" w:eastAsia="Times New Roman" w:hAnsi="Times New Roman"/>
          <w:sz w:val="24"/>
          <w:lang w:eastAsia="en-US"/>
        </w:rPr>
        <w:t>,</w:t>
      </w:r>
      <w:r w:rsidR="00095F1A" w:rsidRPr="009603EF">
        <w:rPr>
          <w:rFonts w:ascii="Times New Roman" w:eastAsia="Times New Roman" w:hAnsi="Times New Roman"/>
          <w:sz w:val="24"/>
          <w:lang w:eastAsia="en-US"/>
        </w:rPr>
        <w:t xml:space="preserve"> this analysis does not take into account the completeness or quality of the information provided </w:t>
      </w:r>
      <w:r w:rsidR="004F5198" w:rsidRPr="009603EF">
        <w:rPr>
          <w:rFonts w:ascii="Times New Roman" w:eastAsia="Times New Roman" w:hAnsi="Times New Roman"/>
          <w:sz w:val="24"/>
          <w:lang w:eastAsia="en-US"/>
        </w:rPr>
        <w:t xml:space="preserve">in </w:t>
      </w:r>
      <w:r w:rsidR="00095F1A" w:rsidRPr="009603EF">
        <w:rPr>
          <w:rFonts w:ascii="Times New Roman" w:eastAsia="Times New Roman" w:hAnsi="Times New Roman"/>
          <w:sz w:val="24"/>
          <w:lang w:eastAsia="en-US"/>
        </w:rPr>
        <w:t>response to each of the areas mentioned.</w:t>
      </w:r>
    </w:p>
    <w:p w:rsidR="00FC21B6" w:rsidRPr="009603EF" w:rsidRDefault="00FC21B6" w:rsidP="00F16E68">
      <w:pPr>
        <w:pStyle w:val="Bullets"/>
        <w:rPr>
          <w:rFonts w:ascii="Times New Roman" w:eastAsia="Times New Roman" w:hAnsi="Times New Roman"/>
          <w:sz w:val="24"/>
          <w:lang w:eastAsia="en-US"/>
        </w:rPr>
      </w:pPr>
      <w:r w:rsidRPr="009603EF">
        <w:rPr>
          <w:rFonts w:ascii="Times New Roman" w:eastAsia="Times New Roman" w:hAnsi="Times New Roman"/>
          <w:sz w:val="24"/>
          <w:lang w:eastAsia="en-US"/>
        </w:rPr>
        <w:t xml:space="preserve">For </w:t>
      </w:r>
      <w:r w:rsidR="003E08E1" w:rsidRPr="009603EF">
        <w:rPr>
          <w:rFonts w:ascii="Times New Roman" w:eastAsia="Times New Roman" w:hAnsi="Times New Roman"/>
          <w:sz w:val="24"/>
          <w:lang w:eastAsia="en-US"/>
        </w:rPr>
        <w:t>drug supply</w:t>
      </w:r>
      <w:r w:rsidRPr="009603EF">
        <w:rPr>
          <w:rFonts w:ascii="Times New Roman" w:eastAsia="Times New Roman" w:hAnsi="Times New Roman"/>
          <w:sz w:val="24"/>
          <w:lang w:eastAsia="en-US"/>
        </w:rPr>
        <w:t>,</w:t>
      </w:r>
      <w:r w:rsidR="00974463" w:rsidRPr="009603EF">
        <w:rPr>
          <w:rFonts w:ascii="Times New Roman" w:eastAsia="Times New Roman" w:hAnsi="Times New Roman"/>
          <w:sz w:val="24"/>
          <w:lang w:eastAsia="en-US"/>
        </w:rPr>
        <w:t xml:space="preserve"> data was predominantly collected in annual modules A07-A12, but additional themes were covered in rotating modules R06, R07, R09 and R11.</w:t>
      </w:r>
      <w:r w:rsidR="000F7177" w:rsidRPr="009603EF">
        <w:rPr>
          <w:rFonts w:ascii="Times New Roman" w:eastAsia="Times New Roman" w:hAnsi="Times New Roman"/>
          <w:sz w:val="24"/>
          <w:lang w:eastAsia="en-US"/>
        </w:rPr>
        <w:t xml:space="preserve"> In total, </w:t>
      </w:r>
      <w:r w:rsidR="00CD7B22" w:rsidRPr="009603EF">
        <w:rPr>
          <w:rFonts w:ascii="Times New Roman" w:eastAsia="Times New Roman" w:hAnsi="Times New Roman"/>
          <w:sz w:val="24"/>
          <w:lang w:eastAsia="en-US"/>
        </w:rPr>
        <w:t>1</w:t>
      </w:r>
      <w:r w:rsidR="00EB1119">
        <w:rPr>
          <w:rFonts w:ascii="Times New Roman" w:eastAsia="Times New Roman" w:hAnsi="Times New Roman"/>
          <w:sz w:val="24"/>
          <w:lang w:eastAsia="en-US"/>
        </w:rPr>
        <w:t>24</w:t>
      </w:r>
      <w:r w:rsidR="00CD7B22" w:rsidRPr="009603EF">
        <w:rPr>
          <w:rFonts w:ascii="Times New Roman" w:eastAsia="Times New Roman" w:hAnsi="Times New Roman"/>
          <w:sz w:val="24"/>
          <w:lang w:eastAsia="en-US"/>
        </w:rPr>
        <w:t xml:space="preserve"> </w:t>
      </w:r>
      <w:r w:rsidR="000F7177" w:rsidRPr="009603EF">
        <w:rPr>
          <w:rFonts w:ascii="Times New Roman" w:eastAsia="Times New Roman" w:hAnsi="Times New Roman"/>
          <w:sz w:val="24"/>
          <w:lang w:eastAsia="en-US"/>
        </w:rPr>
        <w:t xml:space="preserve">countries submitted the module on seizures, </w:t>
      </w:r>
      <w:r w:rsidR="00D74538" w:rsidRPr="009603EF">
        <w:rPr>
          <w:rFonts w:ascii="Times New Roman" w:eastAsia="Times New Roman" w:hAnsi="Times New Roman"/>
          <w:sz w:val="24"/>
          <w:lang w:eastAsia="en-US"/>
        </w:rPr>
        <w:t>1</w:t>
      </w:r>
      <w:r w:rsidR="00013BBE">
        <w:rPr>
          <w:rFonts w:ascii="Times New Roman" w:eastAsia="Times New Roman" w:hAnsi="Times New Roman"/>
          <w:sz w:val="24"/>
          <w:lang w:eastAsia="en-US"/>
        </w:rPr>
        <w:t>1</w:t>
      </w:r>
      <w:r w:rsidR="00EB1119">
        <w:rPr>
          <w:rFonts w:ascii="Times New Roman" w:eastAsia="Times New Roman" w:hAnsi="Times New Roman"/>
          <w:sz w:val="24"/>
          <w:lang w:eastAsia="en-US"/>
        </w:rPr>
        <w:t>5</w:t>
      </w:r>
      <w:r w:rsidR="00D74538" w:rsidRPr="009603EF">
        <w:rPr>
          <w:rFonts w:ascii="Times New Roman" w:eastAsia="Times New Roman" w:hAnsi="Times New Roman"/>
          <w:sz w:val="24"/>
          <w:lang w:eastAsia="en-US"/>
        </w:rPr>
        <w:t xml:space="preserve"> </w:t>
      </w:r>
      <w:r w:rsidR="000F7177" w:rsidRPr="009603EF">
        <w:rPr>
          <w:rFonts w:ascii="Times New Roman" w:eastAsia="Times New Roman" w:hAnsi="Times New Roman"/>
          <w:sz w:val="24"/>
          <w:lang w:eastAsia="en-US"/>
        </w:rPr>
        <w:t xml:space="preserve">on clandestine laboratories and cultivation and eradication, and </w:t>
      </w:r>
      <w:r w:rsidR="008805FB" w:rsidRPr="009603EF">
        <w:rPr>
          <w:rFonts w:ascii="Times New Roman" w:eastAsia="Times New Roman" w:hAnsi="Times New Roman"/>
          <w:sz w:val="24"/>
          <w:lang w:eastAsia="en-US"/>
        </w:rPr>
        <w:t>1</w:t>
      </w:r>
      <w:r w:rsidR="008805FB">
        <w:rPr>
          <w:rFonts w:ascii="Times New Roman" w:eastAsia="Times New Roman" w:hAnsi="Times New Roman"/>
          <w:sz w:val="24"/>
          <w:lang w:eastAsia="en-US"/>
        </w:rPr>
        <w:t>13</w:t>
      </w:r>
      <w:r w:rsidR="008805FB" w:rsidRPr="009603EF">
        <w:rPr>
          <w:rFonts w:ascii="Times New Roman" w:eastAsia="Times New Roman" w:hAnsi="Times New Roman"/>
          <w:sz w:val="24"/>
          <w:lang w:eastAsia="en-US"/>
        </w:rPr>
        <w:t xml:space="preserve"> </w:t>
      </w:r>
      <w:r w:rsidR="000F7177" w:rsidRPr="009603EF">
        <w:rPr>
          <w:rFonts w:ascii="Times New Roman" w:eastAsia="Times New Roman" w:hAnsi="Times New Roman"/>
          <w:sz w:val="24"/>
          <w:lang w:eastAsia="en-US"/>
        </w:rPr>
        <w:t xml:space="preserve">countries submitted the module on price and purities. </w:t>
      </w:r>
      <w:r w:rsidRPr="009603EF">
        <w:rPr>
          <w:rFonts w:ascii="Times New Roman" w:eastAsia="Times New Roman" w:hAnsi="Times New Roman"/>
          <w:sz w:val="24"/>
          <w:lang w:eastAsia="en-US"/>
        </w:rPr>
        <w:t xml:space="preserve"> </w:t>
      </w:r>
      <w:r w:rsidR="002A2940" w:rsidRPr="009603EF">
        <w:rPr>
          <w:rFonts w:ascii="Times New Roman" w:eastAsia="Times New Roman" w:hAnsi="Times New Roman"/>
          <w:sz w:val="24"/>
          <w:lang w:eastAsia="en-US"/>
        </w:rPr>
        <w:t>However</w:t>
      </w:r>
      <w:r w:rsidR="00C6550D" w:rsidRPr="009603EF">
        <w:rPr>
          <w:rFonts w:ascii="Times New Roman" w:eastAsia="Times New Roman" w:hAnsi="Times New Roman"/>
          <w:sz w:val="24"/>
          <w:lang w:eastAsia="en-US"/>
        </w:rPr>
        <w:t>,</w:t>
      </w:r>
      <w:r w:rsidR="002A2940" w:rsidRPr="009603EF">
        <w:rPr>
          <w:rFonts w:ascii="Times New Roman" w:eastAsia="Times New Roman" w:hAnsi="Times New Roman"/>
          <w:sz w:val="24"/>
          <w:lang w:eastAsia="en-US"/>
        </w:rPr>
        <w:t xml:space="preserve"> this analysis does not take into account the completeness of responses of the quality of information provided in each of sections mentioned.</w:t>
      </w:r>
    </w:p>
    <w:p w:rsidR="00FC21B6" w:rsidRPr="0036585D" w:rsidRDefault="000D6BC4" w:rsidP="004B6C86">
      <w:pPr>
        <w:pStyle w:val="Bullets"/>
      </w:pPr>
      <w:r w:rsidRPr="009603EF">
        <w:rPr>
          <w:rFonts w:ascii="Times New Roman" w:eastAsia="Times New Roman" w:hAnsi="Times New Roman"/>
          <w:sz w:val="24"/>
          <w:lang w:eastAsia="en-US"/>
        </w:rPr>
        <w:t>Additional topics related to drug policy frameworks were covered in module</w:t>
      </w:r>
      <w:r w:rsidR="00C42BCB">
        <w:rPr>
          <w:rFonts w:ascii="Times New Roman" w:eastAsia="Times New Roman" w:hAnsi="Times New Roman"/>
          <w:sz w:val="24"/>
          <w:lang w:eastAsia="en-US"/>
        </w:rPr>
        <w:t>s</w:t>
      </w:r>
      <w:r w:rsidRPr="009603EF">
        <w:rPr>
          <w:rFonts w:ascii="Times New Roman" w:eastAsia="Times New Roman" w:hAnsi="Times New Roman"/>
          <w:sz w:val="24"/>
          <w:lang w:eastAsia="en-US"/>
        </w:rPr>
        <w:t xml:space="preserve"> </w:t>
      </w:r>
      <w:r w:rsidR="00C81E16" w:rsidRPr="009603EF">
        <w:rPr>
          <w:rFonts w:ascii="Times New Roman" w:eastAsia="Times New Roman" w:hAnsi="Times New Roman"/>
          <w:sz w:val="24"/>
          <w:lang w:eastAsia="en-US"/>
        </w:rPr>
        <w:t>A13 (Legislative, institutional, and strategic framework). Module A14 gathered information on Innovative methods for data.</w:t>
      </w:r>
      <w:r w:rsidR="000F7177" w:rsidRPr="009603EF">
        <w:rPr>
          <w:rFonts w:ascii="Times New Roman" w:eastAsia="Times New Roman" w:hAnsi="Times New Roman"/>
          <w:sz w:val="24"/>
          <w:lang w:eastAsia="en-US"/>
        </w:rPr>
        <w:t xml:space="preserve"> In total, </w:t>
      </w:r>
      <w:r w:rsidR="00545148" w:rsidRPr="009603EF">
        <w:rPr>
          <w:rFonts w:ascii="Times New Roman" w:eastAsia="Times New Roman" w:hAnsi="Times New Roman"/>
          <w:sz w:val="24"/>
          <w:lang w:eastAsia="en-US"/>
        </w:rPr>
        <w:t>1</w:t>
      </w:r>
      <w:r w:rsidR="00545148">
        <w:rPr>
          <w:rFonts w:ascii="Times New Roman" w:eastAsia="Times New Roman" w:hAnsi="Times New Roman"/>
          <w:sz w:val="24"/>
          <w:lang w:eastAsia="en-US"/>
        </w:rPr>
        <w:t>13</w:t>
      </w:r>
      <w:r w:rsidR="00545148" w:rsidRPr="009603EF">
        <w:rPr>
          <w:rFonts w:ascii="Times New Roman" w:eastAsia="Times New Roman" w:hAnsi="Times New Roman"/>
          <w:sz w:val="24"/>
          <w:lang w:eastAsia="en-US"/>
        </w:rPr>
        <w:t xml:space="preserve"> </w:t>
      </w:r>
      <w:r w:rsidR="000F7177" w:rsidRPr="009603EF">
        <w:rPr>
          <w:rFonts w:ascii="Times New Roman" w:eastAsia="Times New Roman" w:hAnsi="Times New Roman"/>
          <w:sz w:val="24"/>
          <w:lang w:eastAsia="en-US"/>
        </w:rPr>
        <w:t xml:space="preserve">countries or territories submitted module A13, </w:t>
      </w:r>
      <w:r w:rsidR="00935F68">
        <w:rPr>
          <w:rFonts w:ascii="Times New Roman" w:eastAsia="Times New Roman" w:hAnsi="Times New Roman"/>
          <w:sz w:val="24"/>
          <w:lang w:eastAsia="en-US"/>
        </w:rPr>
        <w:t xml:space="preserve"> and</w:t>
      </w:r>
      <w:r w:rsidR="00FC6251">
        <w:rPr>
          <w:rFonts w:ascii="Times New Roman" w:eastAsia="Times New Roman" w:hAnsi="Times New Roman"/>
          <w:sz w:val="24"/>
          <w:lang w:eastAsia="en-US"/>
        </w:rPr>
        <w:t>1</w:t>
      </w:r>
      <w:r w:rsidR="00545148">
        <w:rPr>
          <w:rFonts w:ascii="Times New Roman" w:eastAsia="Times New Roman" w:hAnsi="Times New Roman"/>
          <w:sz w:val="24"/>
          <w:lang w:eastAsia="en-US"/>
        </w:rPr>
        <w:t>07</w:t>
      </w:r>
      <w:r w:rsidR="00FC6251" w:rsidRPr="009603EF">
        <w:rPr>
          <w:rFonts w:ascii="Times New Roman" w:eastAsia="Times New Roman" w:hAnsi="Times New Roman"/>
          <w:sz w:val="24"/>
          <w:lang w:eastAsia="en-US"/>
        </w:rPr>
        <w:t xml:space="preserve"> </w:t>
      </w:r>
      <w:r w:rsidR="000F7177" w:rsidRPr="009603EF">
        <w:rPr>
          <w:rFonts w:ascii="Times New Roman" w:eastAsia="Times New Roman" w:hAnsi="Times New Roman"/>
          <w:sz w:val="24"/>
          <w:lang w:eastAsia="en-US"/>
        </w:rPr>
        <w:t>submitted A14</w:t>
      </w:r>
      <w:r w:rsidR="00935F68">
        <w:rPr>
          <w:rFonts w:ascii="Times New Roman" w:eastAsia="Times New Roman" w:hAnsi="Times New Roman"/>
          <w:sz w:val="24"/>
          <w:lang w:eastAsia="en-US"/>
        </w:rPr>
        <w:t>.</w:t>
      </w:r>
      <w:r w:rsidR="00FC21B6" w:rsidRPr="0036585D">
        <w:t xml:space="preserve">Information provided by Member States in the ARQ form the basis for the estimates and trend analysis provided in the World Drug Report. Often, this information and data is not sufficient to provide an accurate or </w:t>
      </w:r>
      <w:r w:rsidR="00FC21B6" w:rsidRPr="0036585D">
        <w:lastRenderedPageBreak/>
        <w:t xml:space="preserve">comprehensive picture of the world’s drug markets. When necessary and where available, the data from the ARQ are thus supplemented with data from other sources. </w:t>
      </w:r>
    </w:p>
    <w:p w:rsidR="00FC21B6" w:rsidRPr="0036585D" w:rsidRDefault="00FC21B6" w:rsidP="00F16E68">
      <w:r w:rsidRPr="0036585D">
        <w:t>As in previous years, seizure data made available to UNODC via the ARQ was complemented primarily with data from</w:t>
      </w:r>
      <w:r w:rsidR="00F733CD" w:rsidRPr="0036585D">
        <w:t xml:space="preserve"> other government sources, such as</w:t>
      </w:r>
      <w:r w:rsidR="00C538B7" w:rsidRPr="0036585D">
        <w:t xml:space="preserve"> other official communication with UNODC, </w:t>
      </w:r>
      <w:r w:rsidR="00F733CD" w:rsidRPr="0036585D">
        <w:t xml:space="preserve">official </w:t>
      </w:r>
      <w:r w:rsidR="00621A7A" w:rsidRPr="0036585D">
        <w:t xml:space="preserve">national </w:t>
      </w:r>
      <w:r w:rsidR="00F733CD" w:rsidRPr="0036585D">
        <w:t>publications,</w:t>
      </w:r>
      <w:r w:rsidRPr="0036585D">
        <w:t xml:space="preserve"> data provided to UNODC by the Heads of National Law Enforcement Agencies (HONLEA) at their regional meetings</w:t>
      </w:r>
      <w:r w:rsidR="00F733CD" w:rsidRPr="0036585D">
        <w:t xml:space="preserve"> and data published by international</w:t>
      </w:r>
      <w:r w:rsidR="00621A7A" w:rsidRPr="0036585D">
        <w:t xml:space="preserve"> and regional</w:t>
      </w:r>
      <w:r w:rsidR="00F733CD" w:rsidRPr="0036585D">
        <w:t xml:space="preserve"> organisations such as</w:t>
      </w:r>
      <w:r w:rsidR="00621A7A" w:rsidRPr="0036585D">
        <w:t xml:space="preserve"> </w:t>
      </w:r>
      <w:r w:rsidR="00F733CD" w:rsidRPr="0036585D">
        <w:t>Interpol/ICPO</w:t>
      </w:r>
      <w:r w:rsidR="00621A7A" w:rsidRPr="0036585D">
        <w:t>,</w:t>
      </w:r>
      <w:r w:rsidR="00FB70EB" w:rsidRPr="0036585D">
        <w:t xml:space="preserve"> World Customs Organization,</w:t>
      </w:r>
      <w:r w:rsidR="00621A7A" w:rsidRPr="0036585D">
        <w:t xml:space="preserve"> </w:t>
      </w:r>
      <w:r w:rsidR="002A7BB5" w:rsidRPr="0036585D">
        <w:t>European Monitoring Centre for Drugs and Drug Addiction (</w:t>
      </w:r>
      <w:r w:rsidR="00621A7A" w:rsidRPr="0036585D">
        <w:t>EMCDDA</w:t>
      </w:r>
      <w:r w:rsidR="002A7BB5" w:rsidRPr="0036585D">
        <w:t>)</w:t>
      </w:r>
      <w:r w:rsidR="00621A7A" w:rsidRPr="0036585D">
        <w:t xml:space="preserve"> and </w:t>
      </w:r>
      <w:r w:rsidR="002A7BB5" w:rsidRPr="0036585D">
        <w:t>the Inter-American Drug Abuse Control Commission (</w:t>
      </w:r>
      <w:r w:rsidR="00621A7A" w:rsidRPr="0036585D">
        <w:t>CICAD</w:t>
      </w:r>
      <w:r w:rsidR="002A7BB5" w:rsidRPr="0036585D">
        <w:t>)</w:t>
      </w:r>
      <w:r w:rsidRPr="0036585D">
        <w:t>. Price data for Europe w</w:t>
      </w:r>
      <w:r w:rsidR="00B1092D" w:rsidRPr="0036585D">
        <w:t>ere</w:t>
      </w:r>
      <w:r w:rsidRPr="0036585D">
        <w:t xml:space="preserve"> complemented with data from Europol. Demand related information was obtained through a number of additional sources, including the national assessments of the drug situation supported by UNODC, the drug control agencies participating in the UNODC’s ‘Drug Abuse Information Network for Asia and the Pacific’ (DAINAP), as well as various national and regional epidemiological networks such as the European Monitoring Centre for Drugs and Drug Addiction (EMCDDA) or the Inter-American Drug Abuse Control Commission (CICAD). Reports published by National governments and academic</w:t>
      </w:r>
      <w:r w:rsidR="002C504C">
        <w:t xml:space="preserve"> </w:t>
      </w:r>
      <w:r w:rsidRPr="0036585D">
        <w:t xml:space="preserve">research published in the scientific literature were also used as </w:t>
      </w:r>
      <w:r w:rsidR="002A2940" w:rsidRPr="0036585D">
        <w:t xml:space="preserve">additional </w:t>
      </w:r>
      <w:r w:rsidRPr="0036585D">
        <w:t xml:space="preserve">sources of information. This type of supplementary information is useful and necessary </w:t>
      </w:r>
      <w:r w:rsidR="001955A9">
        <w:t>to present</w:t>
      </w:r>
      <w:r w:rsidR="00FF092B">
        <w:t xml:space="preserve"> – to the extent</w:t>
      </w:r>
      <w:r w:rsidR="00215630">
        <w:t xml:space="preserve"> which is</w:t>
      </w:r>
      <w:r w:rsidR="00FF092B">
        <w:t xml:space="preserve"> possible –</w:t>
      </w:r>
      <w:r w:rsidR="001955A9">
        <w:t xml:space="preserve"> an unbiased comprehensive picture of the drug situation </w:t>
      </w:r>
      <w:r w:rsidRPr="0036585D">
        <w:t>as long as Member States lack the monitoring systems necessary to produce reliable, comprehensive and internationally comparable data.</w:t>
      </w:r>
    </w:p>
    <w:p w:rsidR="00FC21B6" w:rsidRPr="0036585D" w:rsidRDefault="00FC21B6" w:rsidP="00F16E68">
      <w:r w:rsidRPr="0036585D">
        <w:t>To this end, UNODC encourages and supports the improvement of national monitoring systems. Major progress has been made</w:t>
      </w:r>
      <w:r w:rsidR="00E618A3" w:rsidRPr="0036585D">
        <w:t xml:space="preserve"> in the area of illicit crop monitoring</w:t>
      </w:r>
      <w:r w:rsidRPr="0036585D">
        <w:t xml:space="preserve"> over the last </w:t>
      </w:r>
      <w:r w:rsidR="003A53D8">
        <w:t xml:space="preserve">three decades </w:t>
      </w:r>
      <w:r w:rsidRPr="0036585D">
        <w:t xml:space="preserve"> in some of the countries that have major illicit crop cultivations. In close cooperation with UNODC and with the support of major donors – these countries have developed monitoring systems designed to identify the extent of</w:t>
      </w:r>
      <w:r w:rsidR="00DB6D75" w:rsidRPr="0036585D">
        <w:t>,</w:t>
      </w:r>
      <w:r w:rsidRPr="0036585D">
        <w:t xml:space="preserve"> and trends in</w:t>
      </w:r>
      <w:r w:rsidR="00DB6D75" w:rsidRPr="0036585D">
        <w:t>,</w:t>
      </w:r>
      <w:r w:rsidRPr="0036585D">
        <w:t xml:space="preserve"> the cultivation of narcotic plants. These data form a fundamental basis for trend analysis </w:t>
      </w:r>
      <w:r w:rsidR="00E618A3" w:rsidRPr="0036585D">
        <w:t xml:space="preserve">of illicit crop cultivation and drug production </w:t>
      </w:r>
      <w:r w:rsidRPr="0036585D">
        <w:t xml:space="preserve">presented in the World Drug Report. </w:t>
      </w:r>
    </w:p>
    <w:p w:rsidR="00FC21B6" w:rsidRDefault="00FC21B6" w:rsidP="00F16E68">
      <w:r w:rsidRPr="0036585D">
        <w:t>There remain significant data limitations on the demand side</w:t>
      </w:r>
      <w:r w:rsidR="003A53D8">
        <w:t>, notably among countries in Africa and Asia</w:t>
      </w:r>
      <w:r w:rsidR="003A53D8" w:rsidRPr="0036585D">
        <w:t>.</w:t>
      </w:r>
      <w:r w:rsidRPr="0036585D">
        <w:t xml:space="preserve">. Despite commendable progress made in </w:t>
      </w:r>
      <w:r w:rsidR="004715AA" w:rsidRPr="0036585D">
        <w:t>several</w:t>
      </w:r>
      <w:r w:rsidRPr="0036585D">
        <w:t xml:space="preserve"> Member States, in the area </w:t>
      </w:r>
      <w:r w:rsidRPr="0036585D">
        <w:lastRenderedPageBreak/>
        <w:t>of prevalence estimates for example, far more remains to be done to provide a truly reliable basis for trend and policy analysis and needs assessments. The work currently being done on the World Drug Report provides yet another opportunity to emphasi</w:t>
      </w:r>
      <w:r w:rsidR="00262862" w:rsidRPr="0036585D">
        <w:t>z</w:t>
      </w:r>
      <w:r w:rsidRPr="0036585D">
        <w:t>e the global need for improving the evidence base available to the policy makers and programme planners.</w:t>
      </w:r>
    </w:p>
    <w:p w:rsidR="00F40AB4" w:rsidRPr="0036585D" w:rsidRDefault="00F40AB4" w:rsidP="009603EF">
      <w:pPr>
        <w:pStyle w:val="1"/>
        <w:numPr>
          <w:ilvl w:val="0"/>
          <w:numId w:val="19"/>
        </w:numPr>
      </w:pPr>
      <w:bookmarkStart w:id="18" w:name="_Toc108622938"/>
      <w:bookmarkStart w:id="19" w:name="_Toc108702200"/>
      <w:bookmarkEnd w:id="18"/>
      <w:r>
        <w:t>Dru</w:t>
      </w:r>
      <w:r w:rsidR="0052732D">
        <w:t xml:space="preserve">g </w:t>
      </w:r>
      <w:r w:rsidR="00002F3C">
        <w:t>use and health consequences</w:t>
      </w:r>
      <w:bookmarkEnd w:id="19"/>
    </w:p>
    <w:p w:rsidR="00D358AE" w:rsidRPr="009E2C12" w:rsidRDefault="00002F3C" w:rsidP="00F16E68">
      <w:pPr>
        <w:pStyle w:val="2"/>
      </w:pPr>
      <w:bookmarkStart w:id="20" w:name="_Toc517181101"/>
      <w:bookmarkStart w:id="21" w:name="_Toc517181162"/>
      <w:bookmarkStart w:id="22" w:name="_Toc517181618"/>
      <w:bookmarkStart w:id="23" w:name="_Toc517182263"/>
      <w:bookmarkStart w:id="24" w:name="_Toc517181102"/>
      <w:bookmarkStart w:id="25" w:name="_Toc517181163"/>
      <w:bookmarkStart w:id="26" w:name="_Toc517181619"/>
      <w:bookmarkStart w:id="27" w:name="_Toc517182264"/>
      <w:bookmarkStart w:id="28" w:name="_Toc517172911"/>
      <w:bookmarkStart w:id="29" w:name="_Toc517173005"/>
      <w:bookmarkStart w:id="30" w:name="_Toc108702201"/>
      <w:bookmarkEnd w:id="20"/>
      <w:bookmarkEnd w:id="21"/>
      <w:bookmarkEnd w:id="22"/>
      <w:bookmarkEnd w:id="23"/>
      <w:bookmarkEnd w:id="24"/>
      <w:bookmarkEnd w:id="25"/>
      <w:bookmarkEnd w:id="26"/>
      <w:bookmarkEnd w:id="27"/>
      <w:r>
        <w:t>Data on drug use and health consequences</w:t>
      </w:r>
      <w:bookmarkEnd w:id="28"/>
      <w:bookmarkEnd w:id="29"/>
      <w:bookmarkEnd w:id="30"/>
    </w:p>
    <w:p w:rsidR="00D358AE" w:rsidRPr="0036585D" w:rsidRDefault="00D358AE" w:rsidP="00F16E68">
      <w:r w:rsidRPr="0092693B">
        <w:t xml:space="preserve">UNODC estimates of the extent of illicit drug use in the world have been published periodically since 1997. Assessing the extent of drug use (the </w:t>
      </w:r>
      <w:r w:rsidR="00E618A3" w:rsidRPr="0092693B">
        <w:t xml:space="preserve">prevalence and </w:t>
      </w:r>
      <w:r w:rsidR="002A7BB5" w:rsidRPr="0092693B">
        <w:t xml:space="preserve">estimates of the </w:t>
      </w:r>
      <w:r w:rsidRPr="0085745A">
        <w:t>number of drug users) is a particularly difficult undertaking because it involves</w:t>
      </w:r>
      <w:r w:rsidR="00E618A3" w:rsidRPr="0085745A">
        <w:t xml:space="preserve"> in most settings</w:t>
      </w:r>
      <w:r w:rsidRPr="002E1D6F">
        <w:t xml:space="preserve"> measuring the size of a ‘hidden’ population. Regional and global estimates are reported </w:t>
      </w:r>
      <w:r w:rsidR="000635AD" w:rsidRPr="002E1D6F">
        <w:t>with</w:t>
      </w:r>
      <w:r w:rsidRPr="002E1D6F">
        <w:t xml:space="preserve"> ranges to reflect the information gaps. The level of confidence expressed in the estimates varies across regions and</w:t>
      </w:r>
      <w:r w:rsidRPr="0036585D">
        <w:t xml:space="preserve"> drug types. </w:t>
      </w:r>
    </w:p>
    <w:p w:rsidR="00D358AE" w:rsidRPr="0036585D" w:rsidRDefault="00D358AE" w:rsidP="00F16E68">
      <w:r w:rsidRPr="0036585D">
        <w:t>A global estimate of the level of use of a specific drug involves the following steps:</w:t>
      </w:r>
    </w:p>
    <w:p w:rsidR="00D358AE" w:rsidRPr="0036585D" w:rsidRDefault="00D358AE" w:rsidP="00F16E68">
      <w:pPr>
        <w:numPr>
          <w:ilvl w:val="0"/>
          <w:numId w:val="2"/>
        </w:numPr>
      </w:pPr>
      <w:r w:rsidRPr="0036585D">
        <w:t>Identification and analysis of appropriate sources (starting from the ARQ);</w:t>
      </w:r>
    </w:p>
    <w:p w:rsidR="00D358AE" w:rsidRPr="0036585D" w:rsidRDefault="00D358AE" w:rsidP="00F16E68">
      <w:pPr>
        <w:numPr>
          <w:ilvl w:val="0"/>
          <w:numId w:val="2"/>
        </w:numPr>
      </w:pPr>
      <w:r w:rsidRPr="0036585D">
        <w:t>Identification of key benchmark figures for the level of drug use in all countries where data are available (annual prevalence of drug use among the general population aged 15-64) which then serve as ‘anchor points’ for subsequent calculations;</w:t>
      </w:r>
    </w:p>
    <w:p w:rsidR="00D358AE" w:rsidRPr="0036585D" w:rsidRDefault="00D358AE" w:rsidP="00F16E68">
      <w:pPr>
        <w:numPr>
          <w:ilvl w:val="0"/>
          <w:numId w:val="2"/>
        </w:numPr>
      </w:pPr>
      <w:r w:rsidRPr="0036585D">
        <w:t xml:space="preserve">‘Standardization’ of existing data if reported with a different reference population than the one used for the </w:t>
      </w:r>
      <w:r w:rsidRPr="0036585D">
        <w:rPr>
          <w:i/>
        </w:rPr>
        <w:t>World Drug Report</w:t>
      </w:r>
      <w:r w:rsidRPr="0036585D">
        <w:t xml:space="preserve"> (for example, from age group 12 and above to a standard age group of 15-64);</w:t>
      </w:r>
    </w:p>
    <w:p w:rsidR="00B367DE" w:rsidRPr="0036585D" w:rsidRDefault="00B367DE" w:rsidP="00F16E68">
      <w:pPr>
        <w:numPr>
          <w:ilvl w:val="0"/>
          <w:numId w:val="2"/>
        </w:numPr>
      </w:pPr>
      <w:r w:rsidRPr="0036585D">
        <w:t xml:space="preserve">Adjustments of national indicators to estimate an annual prevalence rate if such a rate is not available (for example, by using the lifetime prevalence or current use rates; </w:t>
      </w:r>
      <w:r>
        <w:t xml:space="preserve">by aggregating </w:t>
      </w:r>
      <w:r w:rsidR="00FE2A95">
        <w:t xml:space="preserve">prevalence of </w:t>
      </w:r>
      <w:r>
        <w:t xml:space="preserve">two drug types, like </w:t>
      </w:r>
      <w:r w:rsidR="00FE2A95">
        <w:t xml:space="preserve">use of amphetamine and methamphetamine </w:t>
      </w:r>
      <w:r>
        <w:t xml:space="preserve">to obtain the joint estimates of prevalence of use for </w:t>
      </w:r>
      <w:r w:rsidR="00FE2A95">
        <w:t>amphetamines</w:t>
      </w:r>
      <w:r w:rsidR="00BE0E05">
        <w:t xml:space="preserve"> overall</w:t>
      </w:r>
      <w:r>
        <w:t xml:space="preserve">; </w:t>
      </w:r>
      <w:r w:rsidRPr="0036585D">
        <w:t xml:space="preserve">or </w:t>
      </w:r>
      <w:r w:rsidR="00FE2A95">
        <w:t>extrap</w:t>
      </w:r>
      <w:r w:rsidR="00741870">
        <w:t>o</w:t>
      </w:r>
      <w:r w:rsidR="00FE2A95">
        <w:t xml:space="preserve">lating from </w:t>
      </w:r>
      <w:r w:rsidRPr="0036585D">
        <w:t>lifetime or annual prevalence rates among the youth population</w:t>
      </w:r>
      <w:r w:rsidR="00FE2A95">
        <w:t xml:space="preserve"> to the adult population</w:t>
      </w:r>
      <w:r w:rsidRPr="0036585D">
        <w:t>. Th</w:t>
      </w:r>
      <w:r w:rsidR="00FE2A95">
        <w:t>e latter</w:t>
      </w:r>
      <w:r w:rsidRPr="0036585D">
        <w:t xml:space="preserve"> includes the identification of adjustment </w:t>
      </w:r>
      <w:r w:rsidRPr="0036585D">
        <w:lastRenderedPageBreak/>
        <w:t>factors based on information from countries in the region with similar cultural, social and economic situations where applicable;</w:t>
      </w:r>
    </w:p>
    <w:p w:rsidR="00D358AE" w:rsidRPr="0036585D" w:rsidRDefault="00D358AE" w:rsidP="00F16E68">
      <w:pPr>
        <w:numPr>
          <w:ilvl w:val="0"/>
          <w:numId w:val="2"/>
        </w:numPr>
      </w:pPr>
      <w:r w:rsidRPr="0036585D">
        <w:t xml:space="preserve">Imputation for countries where data </w:t>
      </w:r>
      <w:r w:rsidR="00C83D40" w:rsidRPr="0036585D">
        <w:t>are</w:t>
      </w:r>
      <w:r w:rsidRPr="0036585D">
        <w:t xml:space="preserve"> not available, based on data from countries in the same subregion. Ranges are calculated by considering the 10th and 90th </w:t>
      </w:r>
      <w:r w:rsidR="00BE6ABD" w:rsidRPr="0036585D">
        <w:t xml:space="preserve">weighted </w:t>
      </w:r>
      <w:r w:rsidRPr="0036585D">
        <w:t>percentile of the subregional distribution</w:t>
      </w:r>
      <w:r w:rsidR="00BE6ABD" w:rsidRPr="0036585D">
        <w:t>, using the target</w:t>
      </w:r>
      <w:r w:rsidR="001835F3">
        <w:rPr>
          <w:rStyle w:val="a4"/>
        </w:rPr>
        <w:footnoteReference w:id="3"/>
      </w:r>
      <w:r w:rsidR="00BE6ABD" w:rsidRPr="0036585D">
        <w:t xml:space="preserve"> population in the countries as weights</w:t>
      </w:r>
      <w:r w:rsidRPr="0036585D">
        <w:t>;</w:t>
      </w:r>
    </w:p>
    <w:p w:rsidR="00D358AE" w:rsidRPr="0036585D" w:rsidRDefault="00D358AE" w:rsidP="00F16E68">
      <w:pPr>
        <w:numPr>
          <w:ilvl w:val="0"/>
          <w:numId w:val="2"/>
        </w:numPr>
      </w:pPr>
      <w:r w:rsidRPr="0036585D">
        <w:t>Extrapolation</w:t>
      </w:r>
      <w:r w:rsidR="009A6A9E">
        <w:t>s</w:t>
      </w:r>
      <w:r w:rsidRPr="0036585D">
        <w:t xml:space="preserve"> of available results for a subregion were calculated only for subregions where prevalence estimates for at least two countries covering at least 20% of the population were available. If, due to a lack of data, subregional estimates were not extrapolated, a regional calculation was extrapolated based on the 10th and 90th</w:t>
      </w:r>
      <w:r w:rsidR="00D257A6" w:rsidRPr="0036585D">
        <w:t xml:space="preserve"> </w:t>
      </w:r>
      <w:r w:rsidRPr="0036585D">
        <w:t>percentile of the distribution of the data available from countries in the region.</w:t>
      </w:r>
      <w:r w:rsidR="007C4811" w:rsidRPr="0036585D">
        <w:t xml:space="preserve"> </w:t>
      </w:r>
      <w:r w:rsidR="00822E8F">
        <w:t xml:space="preserve">Since </w:t>
      </w:r>
      <w:r w:rsidR="007C4811" w:rsidRPr="0036585D">
        <w:t>the World Drug Report 201</w:t>
      </w:r>
      <w:r w:rsidR="0046778C">
        <w:t>9</w:t>
      </w:r>
      <w:r w:rsidR="007C4811" w:rsidRPr="0036585D">
        <w:t xml:space="preserve">, </w:t>
      </w:r>
      <w:r w:rsidR="00822E8F">
        <w:t xml:space="preserve">when </w:t>
      </w:r>
      <w:r w:rsidR="007C4811" w:rsidRPr="0036585D">
        <w:t>this methodology was revised</w:t>
      </w:r>
      <w:r w:rsidR="00822E8F">
        <w:t xml:space="preserve">, </w:t>
      </w:r>
      <w:r w:rsidR="007C4811" w:rsidRPr="0036585D">
        <w:t xml:space="preserve">a weighted percentile procedure </w:t>
      </w:r>
      <w:r w:rsidR="00822E8F">
        <w:t xml:space="preserve">has been used </w:t>
      </w:r>
      <w:r w:rsidR="007C4811" w:rsidRPr="0036585D">
        <w:t>that takes into account the population aged 15-64 in the countries</w:t>
      </w:r>
      <w:r w:rsidR="00E8468A">
        <w:t>;</w:t>
      </w:r>
    </w:p>
    <w:p w:rsidR="00D358AE" w:rsidRPr="0036585D" w:rsidRDefault="00D358AE" w:rsidP="00F16E68">
      <w:pPr>
        <w:numPr>
          <w:ilvl w:val="0"/>
          <w:numId w:val="2"/>
        </w:numPr>
      </w:pPr>
      <w:r w:rsidRPr="0036585D">
        <w:t>Aggregation of subregional estimates rolled-up into regional results to arrive at global estimates.</w:t>
      </w:r>
    </w:p>
    <w:p w:rsidR="00D358AE" w:rsidRPr="0036585D" w:rsidRDefault="00D358AE" w:rsidP="00F16E68">
      <w:r w:rsidRPr="0036585D">
        <w:t xml:space="preserve">For countries that did not submit information through the ARQ, or in cases where the data were older than 10 years, other sources were identified, where available. In nearly all cases, these were government sources. Many estimates needed to be adjusted to improve comparability (see below). </w:t>
      </w:r>
    </w:p>
    <w:p w:rsidR="00B24F59" w:rsidRDefault="00D358AE" w:rsidP="00F16E68">
      <w:r w:rsidRPr="0036585D">
        <w:t xml:space="preserve">In cases of estimates referring to previous years, the prevalence rates </w:t>
      </w:r>
      <w:r w:rsidR="00637547" w:rsidRPr="0036585D">
        <w:t>are</w:t>
      </w:r>
      <w:r w:rsidRPr="0036585D">
        <w:t xml:space="preserve"> unchanged and applied to new population estimates for the year</w:t>
      </w:r>
      <w:r w:rsidR="00B07C07">
        <w:t xml:space="preserve"> 2021</w:t>
      </w:r>
      <w:r w:rsidRPr="0036585D">
        <w:t xml:space="preserve">. Currently, only </w:t>
      </w:r>
      <w:r w:rsidR="00DB649E" w:rsidRPr="0036585D">
        <w:t xml:space="preserve">a few </w:t>
      </w:r>
      <w:r w:rsidRPr="0036585D">
        <w:t xml:space="preserve">countries measure prevalence </w:t>
      </w:r>
      <w:r w:rsidR="00637547" w:rsidRPr="0036585D">
        <w:t xml:space="preserve">of drug use </w:t>
      </w:r>
      <w:r w:rsidRPr="0036585D">
        <w:t xml:space="preserve">among the general population on an annual basis. The remaining countries that regularly measure it - typically the more economically developed - do so usually every three to five years. Therefore, caution should be used when interpreting </w:t>
      </w:r>
      <w:r w:rsidRPr="0036585D">
        <w:lastRenderedPageBreak/>
        <w:t xml:space="preserve">any change in </w:t>
      </w:r>
      <w:r w:rsidR="009E513F" w:rsidRPr="0036585D">
        <w:t xml:space="preserve">national, regional or even </w:t>
      </w:r>
      <w:r w:rsidRPr="0036585D">
        <w:t>global prevalence figures, as changes may in part reflect newer reports from countries</w:t>
      </w:r>
      <w:r w:rsidR="009E513F" w:rsidRPr="0036585D">
        <w:t>, at times with changed methodology,</w:t>
      </w:r>
      <w:r w:rsidRPr="0036585D">
        <w:t xml:space="preserve"> or the exclusion of older reports, rather than actual changes in </w:t>
      </w:r>
      <w:r w:rsidR="009E513F" w:rsidRPr="0036585D">
        <w:t>prevalence of a drug type.</w:t>
      </w:r>
      <w:r w:rsidR="00637547" w:rsidRPr="0036585D">
        <w:t xml:space="preserve"> </w:t>
      </w:r>
      <w:r w:rsidR="00151659">
        <w:t>Additional caution is required in the interpretation of prevalence rates based on</w:t>
      </w:r>
      <w:r w:rsidR="00D00EF5">
        <w:t xml:space="preserve"> </w:t>
      </w:r>
      <w:r w:rsidR="00151659">
        <w:t>2020</w:t>
      </w:r>
      <w:r w:rsidR="00D00EF5">
        <w:t>/2021</w:t>
      </w:r>
      <w:r w:rsidR="00151659">
        <w:t xml:space="preserve"> surveys, as many countries had to adjust methodologies owing to the situation related to the COVID-19 pandemic and rules and regulations in place to protect public health from it (e.g. lockdowns or social distancing rules leading to several surveys moving their data collections online). As a result, the comparability of 2020</w:t>
      </w:r>
      <w:r w:rsidR="00D00EF5">
        <w:t>/2021</w:t>
      </w:r>
      <w:r w:rsidR="00151659">
        <w:t xml:space="preserve"> studies with previous studies is unknown and may be decreased.</w:t>
      </w:r>
    </w:p>
    <w:p w:rsidR="00B367DE" w:rsidRPr="00D13571" w:rsidRDefault="00B367DE" w:rsidP="00F16E68">
      <w:r w:rsidRPr="0036585D">
        <w:t xml:space="preserve">Detailed information on drug use is available from countries in North America, a large number of countries in Europe, a number of countries in South America, the two </w:t>
      </w:r>
      <w:r w:rsidR="008F0C7B">
        <w:t xml:space="preserve">economically most advanced </w:t>
      </w:r>
      <w:r w:rsidRPr="0036585D">
        <w:t xml:space="preserve">countries in Oceania and a limited number of countries in Asia and Africa. </w:t>
      </w:r>
    </w:p>
    <w:p w:rsidR="00D358AE" w:rsidRPr="0036585D" w:rsidRDefault="00D358AE" w:rsidP="00F16E68">
      <w:r w:rsidRPr="0036585D">
        <w:t xml:space="preserve">One key problem in national data is the level of accuracy, which varies strongly from country to country. Not all estimates are based on sound epidemiological surveys. In some cases, the estimates simply reflect the aggregate number of drug users found in drug registries, which cover only a fraction of the total drug using population in a country. Even in cases where detailed information is available, there is often considerable divergence in definitions used, such as chronic or regular users; registry data (people in contact with the treatment system or the judicial system) versus survey data (usually extrapolation of results obtained through interviews of a selected sample); general population versus specific surveys of groups in terms of age (such as school surveys), special settings (such as hospitals or prisons), </w:t>
      </w:r>
      <w:r w:rsidR="0026192C" w:rsidRPr="0036585D">
        <w:t xml:space="preserve">or high risk groups, </w:t>
      </w:r>
      <w:r w:rsidRPr="0036585D">
        <w:t xml:space="preserve">et cetera. </w:t>
      </w:r>
    </w:p>
    <w:p w:rsidR="00D358AE" w:rsidRPr="0036585D" w:rsidRDefault="00D358AE" w:rsidP="00F16E68">
      <w:r w:rsidRPr="00B9388F">
        <w:t>To reduce the error margins that arise from simply aggregating such diverse estimates, an attempt has been made to standardize - as a far as possible - the heterogeneous data set.</w:t>
      </w:r>
      <w:r w:rsidRPr="0036585D">
        <w:t xml:space="preserve"> Available estimates were transformed</w:t>
      </w:r>
      <w:r w:rsidR="00A705B7">
        <w:t xml:space="preserve"> </w:t>
      </w:r>
      <w:r w:rsidRPr="0036585D">
        <w:t xml:space="preserve">into one single indicator – annual prevalence among the general population </w:t>
      </w:r>
      <w:r w:rsidR="00C365CB" w:rsidRPr="0036585D">
        <w:t>–</w:t>
      </w:r>
      <w:r w:rsidRPr="0036585D">
        <w:t xml:space="preserve"> </w:t>
      </w:r>
      <w:r w:rsidR="00C365CB" w:rsidRPr="0036585D">
        <w:t xml:space="preserve">in most instances using regional average estimates and </w:t>
      </w:r>
      <w:r w:rsidRPr="0036585D">
        <w:t>using transformation ratios derived from analysis of the situation in neighbouring countries. The basic assumption is that though the level of drug use differs between countries, there are general patterns</w:t>
      </w:r>
      <w:r w:rsidR="00856757">
        <w:t xml:space="preserve"> found for the psychoactive substances for which regional and global </w:t>
      </w:r>
      <w:r w:rsidR="00856757">
        <w:lastRenderedPageBreak/>
        <w:t>estimates are generated</w:t>
      </w:r>
      <w:r w:rsidRPr="0036585D">
        <w:t xml:space="preserve"> (for example</w:t>
      </w:r>
      <w:r w:rsidR="001D22BC" w:rsidRPr="0036585D">
        <w:t xml:space="preserve">, </w:t>
      </w:r>
      <w:r w:rsidRPr="0036585D">
        <w:t xml:space="preserve">young people consume more drugs than older people; </w:t>
      </w:r>
      <w:r w:rsidR="00B367DE" w:rsidRPr="0036585D">
        <w:t>males consume more drugs than females;</w:t>
      </w:r>
      <w:r w:rsidRPr="0036585D">
        <w:t xml:space="preserve"> people in contact with the criminal justice system show higher prevalence rates than the general population, et cetera) which apply to most countries. It is also assumed that the </w:t>
      </w:r>
      <w:r w:rsidR="001D22BC" w:rsidRPr="0036585D">
        <w:t>relationship</w:t>
      </w:r>
      <w:r w:rsidRPr="0036585D">
        <w:t xml:space="preserve"> between lifetime prevalence and annual prevalence among the general population or between lifetime prevalence among young people and annual prevalence among the general population, except for </w:t>
      </w:r>
      <w:r w:rsidR="00B37528" w:rsidRPr="0036585D">
        <w:t xml:space="preserve">new or </w:t>
      </w:r>
      <w:r w:rsidRPr="0036585D">
        <w:t xml:space="preserve">emerging drug trends, do not vary greatly among countries with similar social, cultural and economic situations. </w:t>
      </w:r>
    </w:p>
    <w:p w:rsidR="00F23B9B" w:rsidRPr="0036585D" w:rsidRDefault="00F23B9B" w:rsidP="006C7D5A">
      <w:r w:rsidRPr="0036585D">
        <w:t xml:space="preserve">UNODC </w:t>
      </w:r>
      <w:r w:rsidR="00262061">
        <w:t>does not publish</w:t>
      </w:r>
      <w:r w:rsidR="00836272" w:rsidRPr="0036585D">
        <w:t xml:space="preserve"> </w:t>
      </w:r>
      <w:r w:rsidRPr="0036585D">
        <w:t xml:space="preserve">estimates of the prevalence </w:t>
      </w:r>
      <w:r w:rsidR="00CE4E83" w:rsidRPr="0036585D">
        <w:t>of drug use in</w:t>
      </w:r>
      <w:r w:rsidRPr="0036585D">
        <w:t xml:space="preserve"> countries </w:t>
      </w:r>
      <w:r w:rsidR="00CE4E83" w:rsidRPr="0036585D">
        <w:t>with smaller populations (less than approximately 100,000 population aged 15-64) where the prevalence estimates were based on the results of youth or school surveys that were extrapolated to the general adult population</w:t>
      </w:r>
      <w:r w:rsidR="00C0603C">
        <w:t>, as applying such methods in the context of small countries can result in inaccurate figures</w:t>
      </w:r>
      <w:r w:rsidR="003A53D8">
        <w:t xml:space="preserve"> as the underlying samples for such extrapolations are often small and potentially biased. </w:t>
      </w:r>
    </w:p>
    <w:p w:rsidR="00D358AE" w:rsidRPr="009E2C12" w:rsidRDefault="00D358AE" w:rsidP="009603EF">
      <w:pPr>
        <w:pStyle w:val="2"/>
      </w:pPr>
      <w:bookmarkStart w:id="31" w:name="_Toc108702202"/>
      <w:bookmarkStart w:id="32" w:name="_Toc517172912"/>
      <w:bookmarkStart w:id="33" w:name="_Toc517173006"/>
      <w:r w:rsidRPr="009E2C12">
        <w:t>Indicators</w:t>
      </w:r>
      <w:bookmarkEnd w:id="31"/>
      <w:r w:rsidRPr="009E2C12">
        <w:t xml:space="preserve"> </w:t>
      </w:r>
      <w:bookmarkEnd w:id="32"/>
      <w:bookmarkEnd w:id="33"/>
    </w:p>
    <w:p w:rsidR="00D358AE" w:rsidRPr="0036585D" w:rsidRDefault="00D358AE" w:rsidP="00F16E68">
      <w:r w:rsidRPr="0092693B">
        <w:t>The most widely used indicator at the global level is the annual prevalence rate: the number of people who have consumed an illicit drug at least once in the twelve months prior to the study. Annual prevalenc</w:t>
      </w:r>
      <w:r w:rsidRPr="0085745A">
        <w:t xml:space="preserve">e has been adopted by UNODC as one of key indicators to measure the extent of drug use. It is also part of the Lisbon Consensus on core epidemiological indicators </w:t>
      </w:r>
      <w:r w:rsidR="0026192C" w:rsidRPr="0085745A">
        <w:t xml:space="preserve">of drug use </w:t>
      </w:r>
      <w:r w:rsidRPr="0085745A">
        <w:t xml:space="preserve">which has been endorsed by the Commission on Narcotic Drugs. The key </w:t>
      </w:r>
      <w:r w:rsidR="00B37528" w:rsidRPr="002E1D6F">
        <w:t xml:space="preserve">epidemiological </w:t>
      </w:r>
      <w:r w:rsidRPr="002E1D6F">
        <w:t xml:space="preserve">indicators </w:t>
      </w:r>
      <w:r w:rsidR="00B37528" w:rsidRPr="0036585D">
        <w:t xml:space="preserve">of drug use </w:t>
      </w:r>
      <w:r w:rsidRPr="0036585D">
        <w:t>are:</w:t>
      </w:r>
    </w:p>
    <w:p w:rsidR="00D358AE" w:rsidRPr="0036585D" w:rsidRDefault="00D358AE" w:rsidP="00F16E68">
      <w:pPr>
        <w:numPr>
          <w:ilvl w:val="0"/>
          <w:numId w:val="8"/>
        </w:numPr>
      </w:pPr>
      <w:r w:rsidRPr="0036585D">
        <w:t xml:space="preserve">Drug </w:t>
      </w:r>
      <w:r w:rsidR="00A705B7">
        <w:t xml:space="preserve">use </w:t>
      </w:r>
      <w:r w:rsidRPr="0036585D">
        <w:t>among the general population (prevalence and incidence);</w:t>
      </w:r>
    </w:p>
    <w:p w:rsidR="00D358AE" w:rsidRPr="0036585D" w:rsidRDefault="00D358AE" w:rsidP="00F16E68">
      <w:pPr>
        <w:numPr>
          <w:ilvl w:val="0"/>
          <w:numId w:val="8"/>
        </w:numPr>
      </w:pPr>
      <w:r w:rsidRPr="0036585D">
        <w:t xml:space="preserve">Drug </w:t>
      </w:r>
      <w:r w:rsidR="00A705B7">
        <w:t xml:space="preserve">use </w:t>
      </w:r>
      <w:r w:rsidRPr="0036585D">
        <w:t>among the youth population (prevalence and incidence);</w:t>
      </w:r>
    </w:p>
    <w:p w:rsidR="00D358AE" w:rsidRPr="0036585D" w:rsidRDefault="00D358AE" w:rsidP="00F16E68">
      <w:pPr>
        <w:numPr>
          <w:ilvl w:val="0"/>
          <w:numId w:val="8"/>
        </w:numPr>
      </w:pPr>
      <w:r w:rsidRPr="0036585D">
        <w:t>High-risk drug use (number of injecting drug users and the proportion engaged in high-risk behaviour, number of daily drug users);</w:t>
      </w:r>
    </w:p>
    <w:p w:rsidR="00D358AE" w:rsidRPr="0036585D" w:rsidRDefault="00D358AE" w:rsidP="00F16E68">
      <w:pPr>
        <w:numPr>
          <w:ilvl w:val="0"/>
          <w:numId w:val="8"/>
        </w:numPr>
      </w:pPr>
      <w:r w:rsidRPr="0036585D">
        <w:t>Utilization of services for drug problems</w:t>
      </w:r>
      <w:r w:rsidR="00B37528" w:rsidRPr="0036585D">
        <w:t xml:space="preserve"> (treatment demand)</w:t>
      </w:r>
      <w:r w:rsidRPr="0036585D">
        <w:t>;</w:t>
      </w:r>
    </w:p>
    <w:p w:rsidR="004715AA" w:rsidRPr="0036585D" w:rsidRDefault="00D358AE" w:rsidP="00F16E68">
      <w:pPr>
        <w:numPr>
          <w:ilvl w:val="0"/>
          <w:numId w:val="8"/>
        </w:numPr>
      </w:pPr>
      <w:r w:rsidRPr="0036585D">
        <w:t>Drug-related morbidity (prevalence of HIV, hepatitis B virus and hepatitis C virus among drug</w:t>
      </w:r>
      <w:r w:rsidR="004C3678" w:rsidRPr="0036585D">
        <w:t xml:space="preserve"> </w:t>
      </w:r>
      <w:r w:rsidR="00B37528" w:rsidRPr="0036585D">
        <w:t>users</w:t>
      </w:r>
      <w:r w:rsidRPr="0036585D">
        <w:t>);</w:t>
      </w:r>
    </w:p>
    <w:p w:rsidR="00D358AE" w:rsidRPr="0036585D" w:rsidRDefault="00D358AE" w:rsidP="00F16E68">
      <w:pPr>
        <w:numPr>
          <w:ilvl w:val="0"/>
          <w:numId w:val="8"/>
        </w:numPr>
      </w:pPr>
      <w:r w:rsidRPr="0036585D">
        <w:lastRenderedPageBreak/>
        <w:t xml:space="preserve">Drug-related mortality (deaths attributable to drug </w:t>
      </w:r>
      <w:r w:rsidR="00B37528" w:rsidRPr="0036585D">
        <w:t>use</w:t>
      </w:r>
      <w:r w:rsidRPr="0036585D">
        <w:t>).</w:t>
      </w:r>
    </w:p>
    <w:p w:rsidR="00D358AE" w:rsidRPr="0036585D" w:rsidRDefault="00D358AE" w:rsidP="00F16E68">
      <w:r w:rsidRPr="0036585D">
        <w:t xml:space="preserve">Efforts have been made to present the </w:t>
      </w:r>
      <w:r w:rsidR="00692FED" w:rsidRPr="0036585D">
        <w:t xml:space="preserve">overall </w:t>
      </w:r>
      <w:r w:rsidRPr="0036585D">
        <w:t>drug situation from countries and regions based on these key epidemiological indicators.</w:t>
      </w:r>
    </w:p>
    <w:p w:rsidR="00D358AE" w:rsidRPr="0036585D" w:rsidRDefault="00D358AE" w:rsidP="00F16E68">
      <w:r w:rsidRPr="0036585D">
        <w:t xml:space="preserve">The use of annual prevalence is a compromise between lifetime prevalence data (drug use at least once in a lifetime) and data on current use (drug use at least once over the past month). </w:t>
      </w:r>
      <w:r w:rsidR="003A53D8">
        <w:t xml:space="preserve">Accurate data on current use would, in many cases, require larger samples than countries are willing to afford while data on life-time prevalence have only a limited use when drug use among the general population is considered. </w:t>
      </w:r>
      <w:r w:rsidRPr="0036585D">
        <w:t xml:space="preserve">The annual prevalence rate is usually shown as a percentage of the youth and adult population. The definitions of the age groups vary, however, from country to country. Given a highly skewed distribution of drug use among the different age cohorts in most countries, differences in the age groups can lead to substantially diverging results. </w:t>
      </w:r>
    </w:p>
    <w:p w:rsidR="00D358AE" w:rsidRPr="0036585D" w:rsidRDefault="00D358AE" w:rsidP="00F16E68">
      <w:r w:rsidRPr="0036585D">
        <w:t xml:space="preserve">Applying different methodologies may also yield diverging results for the same country. In such cases, the sources were analysed </w:t>
      </w:r>
      <w:r w:rsidR="00D32C59" w:rsidRPr="0036585D">
        <w:t>in-depth,</w:t>
      </w:r>
      <w:r w:rsidRPr="0036585D">
        <w:t xml:space="preserve"> and priority was given to the most recent data and to the methodological approaches that are considered to produce the best results. For example, it is generally accepted that nationally representative household surveys are reasonably good approaches to estimating cannabis, ATS or cocaine use among the general population, at least in countries where there are no adverse consequences for admitting illicit drug use. Thus, household survey results were usually given priority over other sources of prevalence estimates. </w:t>
      </w:r>
    </w:p>
    <w:p w:rsidR="00D358AE" w:rsidRPr="0036585D" w:rsidRDefault="00D358AE" w:rsidP="00F16E68">
      <w:r w:rsidRPr="0036585D">
        <w:t xml:space="preserve">When it comes to </w:t>
      </w:r>
      <w:r w:rsidR="00692FED" w:rsidRPr="0036585D">
        <w:t xml:space="preserve">the use </w:t>
      </w:r>
      <w:r w:rsidR="001A51DF" w:rsidRPr="0036585D">
        <w:t xml:space="preserve">of </w:t>
      </w:r>
      <w:r w:rsidR="00692FED" w:rsidRPr="0036585D">
        <w:t xml:space="preserve">opiates (opium, </w:t>
      </w:r>
      <w:r w:rsidRPr="0036585D">
        <w:t>heroin</w:t>
      </w:r>
      <w:r w:rsidR="00692FED" w:rsidRPr="0036585D">
        <w:t>, and other illicit opiates)</w:t>
      </w:r>
      <w:r w:rsidR="005959D9" w:rsidRPr="0036585D">
        <w:t>,</w:t>
      </w:r>
      <w:r w:rsidRPr="0036585D">
        <w:t xml:space="preserve"> injecting</w:t>
      </w:r>
      <w:r w:rsidR="005959D9" w:rsidRPr="0036585D">
        <w:t xml:space="preserve"> drug use</w:t>
      </w:r>
      <w:r w:rsidRPr="0036585D">
        <w:t xml:space="preserve">, or </w:t>
      </w:r>
      <w:r w:rsidR="005959D9" w:rsidRPr="0036585D">
        <w:t xml:space="preserve">the </w:t>
      </w:r>
      <w:r w:rsidRPr="0036585D">
        <w:t>use of cocaine and ATS</w:t>
      </w:r>
      <w:r w:rsidR="00692FED" w:rsidRPr="0036585D">
        <w:t xml:space="preserve"> among regular or dependent users</w:t>
      </w:r>
      <w:r w:rsidRPr="0036585D">
        <w:t xml:space="preserve">, annual prevalence data derived from national household surveys tend to grossly under-estimate such use, because heroin or other problem drug users often </w:t>
      </w:r>
      <w:r w:rsidR="00692FED" w:rsidRPr="0036585D">
        <w:t xml:space="preserve">tend </w:t>
      </w:r>
      <w:r w:rsidRPr="0036585D">
        <w:t xml:space="preserve">to </w:t>
      </w:r>
      <w:r w:rsidR="00692FED" w:rsidRPr="0036585D">
        <w:t xml:space="preserve">be </w:t>
      </w:r>
      <w:r w:rsidRPr="0036585D">
        <w:t>marginalized or less socially integrated, and may not be identified as living in a ‘typical’ household (they may be on the streets, homeless or institutionalized). Therefore, a number of ‘indirect’ methods have been developed to provide estimates for this group of drug users, including benchmark and multiplier methods (benchmark data may include treatment demand, police registration or arrest data, data on HIV infections, other services utilization by problem drug users or mortality data), capture-recapture methods and multivariate indicator</w:t>
      </w:r>
      <w:r w:rsidR="002B16C3">
        <w:t xml:space="preserve"> method</w:t>
      </w:r>
      <w:r w:rsidRPr="0036585D">
        <w:t xml:space="preserve">s. In countries </w:t>
      </w:r>
      <w:r w:rsidRPr="0036585D">
        <w:lastRenderedPageBreak/>
        <w:t xml:space="preserve">where there was evidence that the primary ‘problem drug’ was opiates, and an indirect estimate existed for ‘problem drug use’ or injecting drug use, this was preferred over household survey estimates of heroin use. </w:t>
      </w:r>
      <w:r w:rsidR="00692FED" w:rsidRPr="0036585D">
        <w:t>Therefore</w:t>
      </w:r>
      <w:r w:rsidR="006B1F63">
        <w:t>,</w:t>
      </w:r>
      <w:r w:rsidR="00692FED" w:rsidRPr="0036585D">
        <w:t xml:space="preserve"> for most of the countries, prevalence of opioid or opiates use </w:t>
      </w:r>
      <w:r w:rsidR="00A81869" w:rsidRPr="0036585D">
        <w:t xml:space="preserve">reported </w:t>
      </w:r>
      <w:r w:rsidR="00692FED" w:rsidRPr="0036585D">
        <w:t>refers to the extent of use of these substances measured through indirect methods.</w:t>
      </w:r>
    </w:p>
    <w:p w:rsidR="0087412D" w:rsidRPr="0036585D" w:rsidRDefault="00D358AE" w:rsidP="00F16E68">
      <w:r w:rsidRPr="0036585D">
        <w:t xml:space="preserve">For other drug types, priority was given to annual prevalence data found by means of household surveys. In order to generate comparable results for all countries, wherever needed, the reported data was extrapolated to annual prevalence rates and/or adjusted for the preferred age group of 15-64 for the general population. </w:t>
      </w:r>
    </w:p>
    <w:p w:rsidR="00D358AE" w:rsidRPr="009E2C12" w:rsidRDefault="00D358AE" w:rsidP="009603EF">
      <w:pPr>
        <w:pStyle w:val="2"/>
      </w:pPr>
      <w:bookmarkStart w:id="34" w:name="_Toc108702203"/>
      <w:bookmarkStart w:id="35" w:name="_Toc517172913"/>
      <w:bookmarkStart w:id="36" w:name="_Toc517173007"/>
      <w:r w:rsidRPr="009E2C12">
        <w:t>Extrapolation methods</w:t>
      </w:r>
      <w:bookmarkEnd w:id="34"/>
      <w:r w:rsidRPr="009E2C12">
        <w:t xml:space="preserve"> </w:t>
      </w:r>
      <w:bookmarkEnd w:id="35"/>
      <w:bookmarkEnd w:id="36"/>
    </w:p>
    <w:p w:rsidR="00D358AE" w:rsidRPr="00BE69C5" w:rsidRDefault="00D358AE" w:rsidP="00F16E68">
      <w:pPr>
        <w:pStyle w:val="3"/>
      </w:pPr>
      <w:bookmarkStart w:id="37" w:name="_Toc108702204"/>
      <w:r w:rsidRPr="00BE69C5">
        <w:t>Adjustment for differences in age groups</w:t>
      </w:r>
      <w:bookmarkEnd w:id="37"/>
    </w:p>
    <w:p w:rsidR="00D358AE" w:rsidRDefault="00D358AE" w:rsidP="00F16E68">
      <w:r w:rsidRPr="0092693B">
        <w:t>Member States are increasingly using the 15-64 age group, though other groups are used as well. Where the age groups reported by Member States did not differ significantly from 15-64, they were presented as reported, and the age group specified. Where studies were based on significantly different age groups, res</w:t>
      </w:r>
      <w:r w:rsidRPr="0085745A">
        <w:t>ults were typically adjusted. A number of countries reported prevalence rates</w:t>
      </w:r>
      <w:r w:rsidR="00A23BD0" w:rsidRPr="0085745A">
        <w:t xml:space="preserve"> or number of drug users</w:t>
      </w:r>
      <w:r w:rsidRPr="0085745A">
        <w:t xml:space="preserve"> for the age groups 15+ or 18+. </w:t>
      </w:r>
      <w:r w:rsidR="00A23BD0" w:rsidRPr="002E1D6F">
        <w:t>In such cases, adjustments were generally based on the assumption that there was no significant drug use above the age of 64; t</w:t>
      </w:r>
      <w:r w:rsidRPr="002E1D6F">
        <w:t xml:space="preserve">he </w:t>
      </w:r>
      <w:r w:rsidR="00A23BD0" w:rsidRPr="0036585D">
        <w:t xml:space="preserve">reported </w:t>
      </w:r>
      <w:r w:rsidRPr="0036585D">
        <w:t xml:space="preserve">number of drug users based on the population age 15+ (or age 18+) was shown as a proportion of the population aged 15-64. </w:t>
      </w:r>
    </w:p>
    <w:p w:rsidR="00B367DE" w:rsidRPr="00E26685" w:rsidRDefault="00B367DE" w:rsidP="00F16E68">
      <w:pPr>
        <w:pStyle w:val="3"/>
      </w:pPr>
      <w:bookmarkStart w:id="38" w:name="_Toc108702205"/>
      <w:r w:rsidRPr="00E26685">
        <w:t>Methodology to produce joint estimates for more than one type of drugs</w:t>
      </w:r>
      <w:bookmarkEnd w:id="38"/>
    </w:p>
    <w:p w:rsidR="00B367DE" w:rsidRPr="00E26685" w:rsidRDefault="00B367DE" w:rsidP="00F16E68">
      <w:r w:rsidRPr="00E26685">
        <w:t xml:space="preserve">In the collection of information on prevalence of drug use, a number of instances arise where data are available for specific types of </w:t>
      </w:r>
      <w:r w:rsidR="008870D5" w:rsidRPr="00E26685">
        <w:t>drugs,</w:t>
      </w:r>
      <w:r w:rsidRPr="00E26685">
        <w:t xml:space="preserve"> but prevalence data are needed at a higher level of aggregation. In other words, prevalence data may be available for two particular kinds of drug</w:t>
      </w:r>
      <w:r w:rsidR="0020574C">
        <w:t>s</w:t>
      </w:r>
      <w:r w:rsidRPr="00E26685">
        <w:t xml:space="preserve"> but may also be needed in the form of a single figure which takes into account both types at the same time. This is especially relevant in the case of closely related types of drugs. For example, the prevalence of use of cocaine salts and </w:t>
      </w:r>
      <w:r>
        <w:t>“</w:t>
      </w:r>
      <w:r w:rsidRPr="00E26685">
        <w:t>crack</w:t>
      </w:r>
      <w:r>
        <w:t>”</w:t>
      </w:r>
      <w:r w:rsidRPr="00E26685">
        <w:t xml:space="preserve"> cocaine may be known, but in addition the prevalence of cocaine in general may be needed. If no empirical data is </w:t>
      </w:r>
      <w:r w:rsidRPr="00E26685">
        <w:lastRenderedPageBreak/>
        <w:t>available from Member States, a joint estimate is produced by aggregating the different types of drugs according to the following method</w:t>
      </w:r>
      <w:r w:rsidR="00255EF2">
        <w:t>:</w:t>
      </w:r>
    </w:p>
    <w:p w:rsidR="00B367DE" w:rsidRPr="00E26685" w:rsidRDefault="00B367DE" w:rsidP="004B6C86">
      <w:pPr>
        <w:ind w:left="720"/>
      </w:pPr>
      <w:r w:rsidRPr="00E26685">
        <w:t>The methodology to calculate the estimate for prevalence of use of two drugs considers the extent to which the group of users of one drug overlaps with the group of the users of the other drug</w:t>
      </w:r>
      <w:r>
        <w:t xml:space="preserve">, for the same </w:t>
      </w:r>
      <w:r w:rsidRPr="00E26685">
        <w:t>reference period (i.e. lifetim</w:t>
      </w:r>
      <w:r>
        <w:t>e</w:t>
      </w:r>
      <w:r w:rsidRPr="00E26685">
        <w:t>,</w:t>
      </w:r>
      <w:r>
        <w:t xml:space="preserve"> past year or</w:t>
      </w:r>
      <w:r w:rsidRPr="00E26685">
        <w:t xml:space="preserve"> past</w:t>
      </w:r>
      <w:r>
        <w:t xml:space="preserve"> </w:t>
      </w:r>
      <w:r w:rsidRPr="00E26685">
        <w:t xml:space="preserve">month). </w:t>
      </w:r>
    </w:p>
    <w:p w:rsidR="00B367DE" w:rsidRPr="00E26685" w:rsidRDefault="00B367DE" w:rsidP="004B6C86">
      <w:pPr>
        <w:ind w:left="720"/>
      </w:pPr>
      <w:r w:rsidRPr="00E26685">
        <w:t xml:space="preserve">The prevalence </w:t>
      </w:r>
      <w:r>
        <w:t xml:space="preserve">rates </w:t>
      </w:r>
      <w:r w:rsidRPr="00E26685">
        <w:t xml:space="preserve">of two types of drugs </w:t>
      </w:r>
      <w:r>
        <w:t>are</w:t>
      </w:r>
      <w:r w:rsidRPr="00E26685">
        <w:t xml:space="preserve"> combined to obtain the estimate of the prevalence of any of the two drugs, which is derived as the midpoint of a lower (minimum) estimate and an upper (maximum) estimate. These two estimates represent two opposite extreme scenarios: in one scenario all the users of one type of drug also consume the other drug, whereas in the other scenario none of the persons consuming the first drug consume the other drug (and vice versa). </w:t>
      </w:r>
    </w:p>
    <w:p w:rsidR="00B367DE" w:rsidRPr="00E26685" w:rsidRDefault="00B367DE" w:rsidP="004B6C86">
      <w:pPr>
        <w:ind w:left="720"/>
      </w:pPr>
      <w:r w:rsidRPr="00E26685">
        <w:t>Given any two drugs A and B, we denote by P</w:t>
      </w:r>
      <w:r w:rsidRPr="00AA747B">
        <w:rPr>
          <w:vertAlign w:val="subscript"/>
        </w:rPr>
        <w:t>A</w:t>
      </w:r>
      <w:r w:rsidRPr="00E26685" w:rsidDel="00BD2476">
        <w:t xml:space="preserve"> </w:t>
      </w:r>
      <w:r w:rsidRPr="00E26685">
        <w:t>and P</w:t>
      </w:r>
      <w:r w:rsidRPr="00AA747B">
        <w:rPr>
          <w:vertAlign w:val="subscript"/>
        </w:rPr>
        <w:t>B</w:t>
      </w:r>
      <w:r w:rsidRPr="00E26685" w:rsidDel="00BD2476">
        <w:t xml:space="preserve"> </w:t>
      </w:r>
      <w:r w:rsidRPr="00E26685">
        <w:t>the prevalence of use of drugs A and B, respectively. We aim to obtain an estimate of the prevalence of use of at least one of the drugs A and B (e.g.  use of cocaine = use of cocaine salts or crack cocaine). We shall call this value Z = P</w:t>
      </w:r>
      <w:r w:rsidRPr="00AA747B">
        <w:rPr>
          <w:vertAlign w:val="subscript"/>
        </w:rPr>
        <w:t>A&amp;B</w:t>
      </w:r>
      <w:r w:rsidRPr="00E26685">
        <w:t xml:space="preserve">. </w:t>
      </w:r>
    </w:p>
    <w:p w:rsidR="00B367DE" w:rsidRPr="00E26685" w:rsidRDefault="00B367DE" w:rsidP="004B6C86">
      <w:pPr>
        <w:ind w:left="720"/>
      </w:pPr>
      <w:r w:rsidRPr="00E26685">
        <w:t xml:space="preserve">The lower estimate (Z </w:t>
      </w:r>
      <w:r w:rsidRPr="00AA747B">
        <w:rPr>
          <w:vertAlign w:val="subscript"/>
        </w:rPr>
        <w:t>min</w:t>
      </w:r>
      <w:r w:rsidRPr="00E26685">
        <w:t xml:space="preserve">) </w:t>
      </w:r>
      <w:r w:rsidRPr="003F7008">
        <w:t>corresponds</w:t>
      </w:r>
      <w:r w:rsidRPr="00C00AB4">
        <w:t xml:space="preserve"> to the</w:t>
      </w:r>
      <w:r w:rsidRPr="008B7705">
        <w:t xml:space="preserve"> scenario where</w:t>
      </w:r>
      <w:r w:rsidRPr="001108EE">
        <w:t xml:space="preserve"> all </w:t>
      </w:r>
      <w:r w:rsidRPr="00274B7C">
        <w:t xml:space="preserve">the users of one </w:t>
      </w:r>
      <w:r w:rsidRPr="00B46353">
        <w:t>drug are to be found</w:t>
      </w:r>
      <w:r w:rsidRPr="00E8468A">
        <w:t xml:space="preserve"> among the users of</w:t>
      </w:r>
      <w:r w:rsidRPr="00621AEC">
        <w:t xml:space="preserve"> the othe</w:t>
      </w:r>
      <w:r w:rsidRPr="00E26685">
        <w:t>r drug. Therefore, the lower (minimum) joint estimate corresponds to the highe</w:t>
      </w:r>
      <w:r>
        <w:t>st</w:t>
      </w:r>
      <w:r w:rsidRPr="00E26685">
        <w:t xml:space="preserve"> value (maximum) among the two values of prevalence.</w:t>
      </w:r>
    </w:p>
    <w:p w:rsidR="00B367DE" w:rsidRPr="00E26685" w:rsidRDefault="00B367DE" w:rsidP="009603EF">
      <w:pPr>
        <w:rPr>
          <w:lang w:val="fr-FR"/>
        </w:rPr>
      </w:pPr>
      <w:r w:rsidRPr="00E26685">
        <w:rPr>
          <w:lang w:val="fr-FR"/>
        </w:rPr>
        <w:t xml:space="preserve">Z </w:t>
      </w:r>
      <w:r w:rsidRPr="00E26685">
        <w:rPr>
          <w:vertAlign w:val="subscript"/>
          <w:lang w:val="fr-FR"/>
        </w:rPr>
        <w:t xml:space="preserve">min </w:t>
      </w:r>
      <w:r w:rsidRPr="00E26685">
        <w:rPr>
          <w:lang w:val="fr-FR"/>
        </w:rPr>
        <w:t>= max (P</w:t>
      </w:r>
      <w:r w:rsidRPr="00E26685">
        <w:rPr>
          <w:vertAlign w:val="subscript"/>
          <w:lang w:val="fr-FR"/>
        </w:rPr>
        <w:t>A</w:t>
      </w:r>
      <w:r w:rsidRPr="00E26685">
        <w:rPr>
          <w:lang w:val="fr-FR"/>
        </w:rPr>
        <w:t>, P</w:t>
      </w:r>
      <w:r w:rsidRPr="00E26685">
        <w:rPr>
          <w:vertAlign w:val="subscript"/>
          <w:lang w:val="fr-FR"/>
        </w:rPr>
        <w:t>B</w:t>
      </w:r>
      <w:r w:rsidRPr="00E26685">
        <w:rPr>
          <w:lang w:val="fr-FR"/>
        </w:rPr>
        <w:t>)</w:t>
      </w:r>
    </w:p>
    <w:tbl>
      <w:tblPr>
        <w:tblW w:w="0" w:type="auto"/>
        <w:tblLayout w:type="fixed"/>
        <w:tblCellMar>
          <w:left w:w="1213" w:type="dxa"/>
        </w:tblCellMar>
        <w:tblLook w:val="04A0"/>
      </w:tblPr>
      <w:tblGrid>
        <w:gridCol w:w="4106"/>
        <w:gridCol w:w="567"/>
        <w:gridCol w:w="3525"/>
      </w:tblGrid>
      <w:tr w:rsidR="00B367DE" w:rsidTr="00B07F59">
        <w:trPr>
          <w:trHeight w:val="2063"/>
        </w:trPr>
        <w:tc>
          <w:tcPr>
            <w:tcW w:w="4106" w:type="dxa"/>
            <w:shd w:val="clear" w:color="auto" w:fill="auto"/>
            <w:vAlign w:val="center"/>
          </w:tcPr>
          <w:p w:rsidR="00B367DE" w:rsidRPr="00CB1D8B" w:rsidRDefault="00E32DAC" w:rsidP="009603EF">
            <w:pPr>
              <w:rPr>
                <w:lang w:val="fr-FR"/>
              </w:rPr>
            </w:pPr>
            <w:r w:rsidRPr="00E32DAC">
              <w:rPr>
                <w:noProof/>
              </w:rPr>
              <w:pict>
                <v:group id="Group 34" o:spid="_x0000_s1026" style="position:absolute;left:0;text-align:left;margin-left:40.7pt;margin-top:-.7pt;width:96.95pt;height:90.45pt;z-index:251658245;mso-width-relative:margin;mso-height-relative:margin" coordsize="12319,11517" wrapcoords="8540 0 7200 179 3014 2321 2009 4106 837 5712 167 7498 -167 8569 -167 11960 167 14281 1507 17137 4856 20172 8037 21421 8540 21421 12893 21421 13395 21421 16577 20172 19926 17137 21265 14281 21767 11425 21600 8569 20595 5712 18921 3392 18419 2321 14233 179 12893 0 854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9u4gIAAF8IAAAOAAAAZHJzL2Uyb0RvYy54bWzMVttu2zAMfR+wfxD0vvqSpEmMOkWXxsWA&#10;bi3Q7QMUWb5gsqRJSpzu60dJTpq0e2q3YXkwRFOiyHMO6Vxc7jqOtkybVoocJ2cxRkxQWbaizvG3&#10;r8WHGUbGElESLgXL8SMz+HLx/t1FrzKWykbykmkEQYTJepXjxlqVRZGhDeuIOZOKCXBWUnfEgqnr&#10;qNSkh+gdj9I4Po96qUulJWXGwNvr4MQLH7+qGLV3VWWYRTzHkJv1T+2fa/eMFhckqzVRTUuHNMgr&#10;suhIK+DSQ6hrYgna6PZFqK6lWhpZ2TMqu0hWVUuZrwGqSeJn1dxouVG+ljrra3WACaB9htOrw9Iv&#10;2xutHtS9DtnD8lbS7wZwiXpVZ8d+Z9dhM1r3n2UJfJKNlb7wXaU7FwJKQjuP7+MBX7aziMLLJB0l&#10;6fkEIwq+JBnPpskkMEAboOnFOdqsjk7O9+cmydSdikgWLvWJDok54kFJ5gks8zawHhqimOfAODDu&#10;NWrLHI+gCEE6AOBuSzhDI5eQuxm27ME0AUkk5LIhomZXWsu+YaSEjBJfwMkBZxjg4fXQHgAaz30+&#10;B4BIprSxN0x2yC1yzDhvlXFlkYxsb40NcO53uddG8rYsWs69oev1kmsEtea4KIp0uRwYONnGBeod&#10;y9M49qFPnOY4RlpM0lnxuxhda2Eg8LbL8Sx2P7eJZA63lSj92pKWhzVUyIVXasAucGB3691Ax1qW&#10;jwCplqHxYVDBopH6J0Y9NH2OzY8N0Qwj/kkALfNkPHZTwhvjyTQFQx971sceIiiEyrHFKCyXNkyW&#10;jdJt3cBNiYdByCvokqr1KDuaQ1ZD3qDVfyXa81PR+t470SDQ/pdEm6YxyBPafjwaDz2/nwqzZAKJ&#10;uZEwTabpoIn9ONlL8k8I93q1+lhMg+i5akiQ8/lonoZ2hOqDRv1sORHvf6RsP398wk9S+ssCp1a/&#10;XeJ+SsNXzIM7fHHdZ/LY9i3x9L9g8QsAAP//AwBQSwMEFAAGAAgAAAAhAJxNs7vgAAAACQEAAA8A&#10;AABkcnMvZG93bnJldi54bWxMj8FqwkAQhu+FvsMyhd50E22qTbMRkbYnEaqF0tuYHZNgdjZk1yS+&#10;fddTexqG/+Ofb7LVaBrRU+dqywriaQSCuLC65lLB1+F9sgThPLLGxjIpuJKDVX5/l2Gq7cCf1O99&#10;KUIJuxQVVN63qZSuqMigm9qWOGQn2xn0Ye1KqTscQrlp5CyKnqXBmsOFClvaVFSc9xej4GPAYT2P&#10;3/rt+bS5/hyS3fc2JqUeH8b1KwhPo/+D4aYf1CEPTkd7Ye1Eo2AZPwVSweQ2Qz5bJHMQxwAuXhKQ&#10;eSb/f5D/AgAA//8DAFBLAQItABQABgAIAAAAIQC2gziS/gAAAOEBAAATAAAAAAAAAAAAAAAAAAAA&#10;AABbQ29udGVudF9UeXBlc10ueG1sUEsBAi0AFAAGAAgAAAAhADj9If/WAAAAlAEAAAsAAAAAAAAA&#10;AAAAAAAALwEAAF9yZWxzLy5yZWxzUEsBAi0AFAAGAAgAAAAhAHNJT27iAgAAXwgAAA4AAAAAAAAA&#10;AAAAAAAALgIAAGRycy9lMm9Eb2MueG1sUEsBAi0AFAAGAAgAAAAhAJxNs7vgAAAACQEAAA8AAAAA&#10;AAAAAAAAAAAAPAUAAGRycy9kb3ducmV2LnhtbFBLBQYAAAAABAAEAPMAAABJBgAAAAA=&#10;">
                  <v:oval id="Ovale 3" o:spid="_x0000_s1027" style="position:absolute;width:12319;height:114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VP4xgAAANsAAAAPAAAAZHJzL2Rvd25yZXYueG1sRI9PawIx&#10;FMTvBb9DeEIvRbOuVmQ1Si0UKkWw6sHjc/P2D928bDepxm/fCIUeh5n5DbNYBdOIC3WutqxgNExA&#10;EOdW11wqOB7eBjMQziNrbCyTghs5WC17DwvMtL3yJ132vhQRwi5DBZX3bSalyysy6Ia2JY5eYTuD&#10;PsqulLrDa4SbRqZJMpUGa44LFbb0WlH+tf8xCj7O36fJ0zYdbwoqduvUNyGsR0o99sPLHISn4P/D&#10;f+13rWD8DPcv8QfI5S8AAAD//wMAUEsBAi0AFAAGAAgAAAAhANvh9svuAAAAhQEAABMAAAAAAAAA&#10;AAAAAAAAAAAAAFtDb250ZW50X1R5cGVzXS54bWxQSwECLQAUAAYACAAAACEAWvQsW78AAAAVAQAA&#10;CwAAAAAAAAAAAAAAAAAfAQAAX3JlbHMvLnJlbHNQSwECLQAUAAYACAAAACEACxVT+MYAAADbAAAA&#10;DwAAAAAAAAAAAAAAAAAHAgAAZHJzL2Rvd25yZXYueG1sUEsFBgAAAAADAAMAtwAAAPoCAAAAAA==&#10;" fillcolor="#fff2cc" strokecolor="#2f528f" strokeweight="1pt">
                    <v:stroke joinstyle="miter"/>
                    <v:textbox>
                      <w:txbxContent>
                        <w:p w:rsidR="0052732D" w:rsidRPr="006A1392" w:rsidRDefault="0052732D" w:rsidP="00F16E68">
                          <w:r w:rsidRPr="006A1392">
                            <w:t>Users of drug A</w:t>
                          </w:r>
                        </w:p>
                        <w:p w:rsidR="0052732D" w:rsidRPr="006A1392" w:rsidRDefault="0052732D" w:rsidP="00F16E68"/>
                        <w:p w:rsidR="0052732D" w:rsidRPr="006A1392" w:rsidRDefault="0052732D" w:rsidP="00F16E68"/>
                        <w:p w:rsidR="0052732D" w:rsidRPr="006A1392" w:rsidRDefault="0052732D" w:rsidP="00F16E68"/>
                        <w:p w:rsidR="0052732D" w:rsidRPr="006A1392" w:rsidRDefault="0052732D" w:rsidP="00F16E68"/>
                        <w:p w:rsidR="0052732D" w:rsidRPr="006A1392" w:rsidRDefault="0052732D" w:rsidP="00F16E68"/>
                        <w:p w:rsidR="0052732D" w:rsidRPr="006A1392" w:rsidRDefault="0052732D" w:rsidP="00F16E68">
                          <w:r w:rsidRPr="006A1392">
                            <w:t xml:space="preserve"> </w:t>
                          </w:r>
                        </w:p>
                        <w:p w:rsidR="0052732D" w:rsidRPr="006A1392" w:rsidRDefault="0052732D" w:rsidP="00F16E68"/>
                        <w:p w:rsidR="0052732D" w:rsidRPr="006A1392" w:rsidRDefault="0052732D" w:rsidP="00F16E68"/>
                        <w:p w:rsidR="0052732D" w:rsidRPr="006A1392" w:rsidRDefault="0052732D" w:rsidP="00F16E68"/>
                        <w:p w:rsidR="0052732D" w:rsidRPr="006A1392" w:rsidRDefault="0052732D" w:rsidP="00F16E68"/>
                        <w:p w:rsidR="0052732D" w:rsidRPr="006A1392" w:rsidRDefault="0052732D" w:rsidP="00F16E68"/>
                        <w:p w:rsidR="0052732D" w:rsidRPr="006A1392" w:rsidRDefault="0052732D" w:rsidP="00F16E68"/>
                        <w:p w:rsidR="0052732D" w:rsidRPr="006A1392" w:rsidRDefault="0052732D" w:rsidP="00F16E68"/>
                        <w:p w:rsidR="0052732D" w:rsidRPr="006A1392" w:rsidRDefault="0052732D" w:rsidP="00F16E68"/>
                        <w:p w:rsidR="0052732D" w:rsidRPr="006A1392" w:rsidRDefault="0052732D" w:rsidP="00F16E68"/>
                        <w:p w:rsidR="0052732D" w:rsidRPr="006A1392" w:rsidRDefault="0052732D" w:rsidP="00F16E68"/>
                        <w:p w:rsidR="0052732D" w:rsidRPr="006A1392" w:rsidRDefault="0052732D" w:rsidP="00F16E68"/>
                        <w:p w:rsidR="0052732D" w:rsidRPr="006A1392" w:rsidRDefault="0052732D" w:rsidP="00F16E68"/>
                        <w:p w:rsidR="0052732D" w:rsidRPr="006A1392" w:rsidRDefault="0052732D" w:rsidP="00F16E68"/>
                      </w:txbxContent>
                    </v:textbox>
                  </v:oval>
                  <v:oval id="Ovale 5" o:spid="_x0000_s1028" style="position:absolute;left:2209;top:4345;width:8156;height:71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fswwAAANsAAAAPAAAAZHJzL2Rvd25yZXYueG1sRI/RisIw&#10;FETfBf8hXME3TV2hSjWKLCzswyqs+gGX5poWm5vaZGvr1xthwcdhZs4w621nK9FS40vHCmbTBARx&#10;7nTJRsH59DVZgvABWWPlmBT05GG7GQ7WmGl3519qj8GICGGfoYIihDqT0ucFWfRTVxNH7+IaiyHK&#10;xkjd4D3CbSU/kiSVFkuOCwXW9FlQfj3+WQXm0R4Ws+XN3Kr+J30k+7A791qp8ajbrUAE6sI7/N/+&#10;1grmKby+xB8gN08AAAD//wMAUEsBAi0AFAAGAAgAAAAhANvh9svuAAAAhQEAABMAAAAAAAAAAAAA&#10;AAAAAAAAAFtDb250ZW50X1R5cGVzXS54bWxQSwECLQAUAAYACAAAACEAWvQsW78AAAAVAQAACwAA&#10;AAAAAAAAAAAAAAAfAQAAX3JlbHMvLnJlbHNQSwECLQAUAAYACAAAACEAEev37MMAAADbAAAADwAA&#10;AAAAAAAAAAAAAAAHAgAAZHJzL2Rvd25yZXYueG1sUEsFBgAAAAADAAMAtwAAAPcCAAAAAA==&#10;" fillcolor="#deebf7" strokecolor="#2f528f" strokeweight="1pt">
                    <v:fill opacity="41891f"/>
                    <v:stroke joinstyle="miter"/>
                    <v:textbox>
                      <w:txbxContent>
                        <w:p w:rsidR="0052732D" w:rsidRPr="004B6C86" w:rsidRDefault="0052732D" w:rsidP="009603EF">
                          <w:pPr>
                            <w:rPr>
                              <w:sz w:val="16"/>
                              <w:szCs w:val="16"/>
                            </w:rPr>
                          </w:pPr>
                          <w:r w:rsidRPr="004B6C86">
                            <w:rPr>
                              <w:sz w:val="16"/>
                              <w:szCs w:val="16"/>
                            </w:rPr>
                            <w:t>Users of drug B</w:t>
                          </w:r>
                        </w:p>
                      </w:txbxContent>
                    </v:textbox>
                  </v:oval>
                  <w10:wrap type="tight"/>
                </v:group>
              </w:pict>
            </w:r>
          </w:p>
        </w:tc>
        <w:tc>
          <w:tcPr>
            <w:tcW w:w="567" w:type="dxa"/>
            <w:shd w:val="clear" w:color="auto" w:fill="auto"/>
            <w:tcMar>
              <w:left w:w="108" w:type="dxa"/>
            </w:tcMar>
            <w:vAlign w:val="center"/>
          </w:tcPr>
          <w:p w:rsidR="00B367DE" w:rsidRPr="00CB1D8B" w:rsidRDefault="00B367DE" w:rsidP="009603EF">
            <w:pPr>
              <w:rPr>
                <w:lang w:val="fr-FR"/>
              </w:rPr>
            </w:pPr>
            <w:r w:rsidRPr="00CB1D8B">
              <w:rPr>
                <w:lang w:val="fr-FR"/>
              </w:rPr>
              <w:t>OR</w:t>
            </w:r>
          </w:p>
        </w:tc>
        <w:tc>
          <w:tcPr>
            <w:tcW w:w="3525" w:type="dxa"/>
            <w:shd w:val="clear" w:color="auto" w:fill="auto"/>
            <w:vAlign w:val="center"/>
          </w:tcPr>
          <w:p w:rsidR="00B367DE" w:rsidRPr="00CB1D8B" w:rsidRDefault="00E32DAC" w:rsidP="009603EF">
            <w:pPr>
              <w:rPr>
                <w:lang w:val="fr-FR"/>
              </w:rPr>
            </w:pPr>
            <w:r w:rsidRPr="00E32DAC">
              <w:rPr>
                <w:noProof/>
              </w:rPr>
              <w:pict>
                <v:group id="Group 31" o:spid="_x0000_s1029" style="position:absolute;left:0;text-align:left;margin-left:-48.1pt;margin-top:-1.7pt;width:97pt;height:90.5pt;z-index:251658244;mso-position-horizontal-relative:text;mso-position-vertical-relative:text;mso-width-relative:margin;mso-height-relative:margin" coordorigin=",-361" coordsize="12319,11493" wrapcoords="8540 0 7200 179 3014 2321 2009 4106 837 5712 167 7498 -167 8569 -167 11960 167 14281 1507 17137 4856 20172 8037 21421 8540 21421 12893 21421 13395 21421 16577 20172 19926 17137 21265 14281 21767 11425 21600 8569 20595 5712 18921 3392 18419 2321 14233 179 12893 0 854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5oTAMAAH8KAAAOAAAAZHJzL2Uyb0RvYy54bWzkVslu2zAQvRfoPxC8N7JkeRMiF65dBwXS&#10;JEBS9ExT1IJSJEvSkdOv75CUlyQFuqFA0V4Ecoac5c3ME89f71qO7pk2jRQ5js8GGDFBZdGIKscf&#10;7tavphgZS0RBuBQsxw/M4Nfzly/OO5WxRNaSF0wjMCJM1qkc19aqLIoMrVlLzJlUTICylLolFra6&#10;igpNOrDe8igZDMZRJ3WhtKTMGJCughLPvf2yZNRel6VhFvEcQ2zWf7X/btw3mp+TrNJE1Q3twyC/&#10;EEVLGgFOD6ZWxBK01c0zU21DtTSytGdUtpEsy4YynwNkEw+eZHOh5Vb5XKqsq9QBJoD2CU6/bJZe&#10;3V9odatudIgelpeSfjKAS9SpKjvVu311PLwrdesuQRJo5xF9OCDKdhZREMbJMJ4NAHgKujhOZ8NR&#10;jzmtoTDHe6+G43g2CuWg9dvvXI9IFrz7GA8xdQqayBxxMr+H021NFPPwG4fDjUZNkeNhgpEgLfTy&#10;9T3hDA1d0M4zHHE49jvTQ/pNlE6z/R5Uh1xJprSxF0y2yC1yzDhvlHERkozcXxrrinY85cRG8qZY&#10;N5z7ja42S64RhJ3j9Xo5gMI4Od+272URxDBTIAVDXuxK5E9P92Kwb4IZ7+uRfS5Q50o+8QUnMM0l&#10;JxZq3yrAzYgKI8IroAlqtXf86HZvNvhL00myTMOhmhQsSEc/EoXDZkVMHa54FyGftrFANbxpc+zT&#10;8WlCPly4bJknix5EV85QQLeyu83Olz7Zl3ojiwdoBy0DnxhF1w24vSTG3hANBAIdD6Ror+FTcgmo&#10;yH6FUS31l2/J3XnoV9Bi1AEhAWKft0QzjPg7AZ08i9PUMZjfpKNJAht9qtmcasS2XUoocwz0q6hf&#10;uvOW75ellu1H4M6F8woqIij4zjHUKyyXNtAkcC9li4U/BJyliL0Ut4o60w43B/fd7iPRqu9KCw19&#10;Jfez86wzw1l3U8jF1sqy8W3rcA6oeuLxcxzG6s8P9PDxQHsW+uGBjmfjYQoWgN+Gs2Q8nYRm20/1&#10;NB0kyTjw33gyHsRTp/9DMz16M3uzGv30TEONuKpJGJhx2hPAfz3pB1L/hyfdsfBfNOv+Vw6vHD8d&#10;/YvMPaNO954bju/G+VcAAAD//wMAUEsDBBQABgAIAAAAIQBaggEo4AAAAAkBAAAPAAAAZHJzL2Rv&#10;d25yZXYueG1sTI/BSsNAEIbvgu+wjOCt3aTVxMZsSinqqQi2gnjbZqdJaHY2ZLdJ+vaOJ73NMB//&#10;fH++nmwrBux940hBPI9AIJXONFQp+Dy8zp5A+KDJ6NYRKriih3Vxe5PrzLiRPnDYh0pwCPlMK6hD&#10;6DIpfVmj1X7uOiS+nVxvdeC1r6Tp9cjhtpWLKEqk1Q3xh1p3uK2xPO8vVsHbqMfNMn4ZdufT9vp9&#10;eHz/2sWo1P3dtHkGEXAKfzD86rM6FOx0dBcyXrQKZqtkwSgPywcQDKxSrnJkME0TkEUu/zcofgAA&#10;AP//AwBQSwECLQAUAAYACAAAACEAtoM4kv4AAADhAQAAEwAAAAAAAAAAAAAAAAAAAAAAW0NvbnRl&#10;bnRfVHlwZXNdLnhtbFBLAQItABQABgAIAAAAIQA4/SH/1gAAAJQBAAALAAAAAAAAAAAAAAAAAC8B&#10;AABfcmVscy8ucmVsc1BLAQItABQABgAIAAAAIQCtWc5oTAMAAH8KAAAOAAAAAAAAAAAAAAAAAC4C&#10;AABkcnMvZTJvRG9jLnhtbFBLAQItABQABgAIAAAAIQBaggEo4AAAAAkBAAAPAAAAAAAAAAAAAAAA&#10;AKYFAABkcnMvZG93bnJldi54bWxQSwUGAAAAAAQABADzAAAAswYAAAAA&#10;">
                  <v:oval id="Ovale 3" o:spid="_x0000_s1030" style="position:absolute;top:-361;width:12319;height:11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MxQAAANsAAAAPAAAAZHJzL2Rvd25yZXYueG1sRI9PawIx&#10;FMTvQr9DeIVeSs26FimrUVQQFCnotoceXzdv/+DmZd2kGr99Uyh4HGbmN8xsEUwrLtS7xrKC0TAB&#10;QVxY3XCl4PNj8/IGwnlkja1lUnAjB4v5w2CGmbZXPtIl95WIEHYZKqi97zIpXVGTQTe0HXH0Stsb&#10;9FH2ldQ9XiPctDJNkok02HBcqLGjdU3FKf8xCvbf56/X5/d0vCupPKxS34awGin19BiWUxCegr+H&#10;/9tbrWCcwt+X+APk/BcAAP//AwBQSwECLQAUAAYACAAAACEA2+H2y+4AAACFAQAAEwAAAAAAAAAA&#10;AAAAAAAAAAAAW0NvbnRlbnRfVHlwZXNdLnhtbFBLAQItABQABgAIAAAAIQBa9CxbvwAAABUBAAAL&#10;AAAAAAAAAAAAAAAAAB8BAABfcmVscy8ucmVsc1BLAQItABQABgAIAAAAIQCE/MuMxQAAANsAAAAP&#10;AAAAAAAAAAAAAAAAAAcCAABkcnMvZG93bnJldi54bWxQSwUGAAAAAAMAAwC3AAAA+QIAAAAA&#10;" fillcolor="#fff2cc" strokecolor="#2f528f" strokeweight="1pt">
                    <v:stroke joinstyle="miter"/>
                    <v:textbox>
                      <w:txbxContent>
                        <w:p w:rsidR="0052732D" w:rsidRPr="006A1392" w:rsidRDefault="0052732D" w:rsidP="00F16E68">
                          <w:r w:rsidRPr="006A1392">
                            <w:t>Users of drug B</w:t>
                          </w:r>
                        </w:p>
                        <w:p w:rsidR="0052732D" w:rsidRPr="006A1392" w:rsidRDefault="0052732D" w:rsidP="00F16E68"/>
                        <w:p w:rsidR="0052732D" w:rsidRPr="006A1392" w:rsidRDefault="0052732D" w:rsidP="00F16E68"/>
                        <w:p w:rsidR="0052732D" w:rsidRPr="006A1392" w:rsidRDefault="0052732D" w:rsidP="00F16E68"/>
                        <w:p w:rsidR="0052732D" w:rsidRPr="006A1392" w:rsidRDefault="0052732D" w:rsidP="00F16E68"/>
                        <w:p w:rsidR="0052732D" w:rsidRPr="006A1392" w:rsidRDefault="0052732D" w:rsidP="00F16E68"/>
                        <w:p w:rsidR="0052732D" w:rsidRPr="006A1392" w:rsidRDefault="0052732D" w:rsidP="00F16E68">
                          <w:r w:rsidRPr="006A1392">
                            <w:t xml:space="preserve"> </w:t>
                          </w:r>
                        </w:p>
                        <w:p w:rsidR="0052732D" w:rsidRPr="006A1392" w:rsidRDefault="0052732D" w:rsidP="00F16E68"/>
                        <w:p w:rsidR="0052732D" w:rsidRPr="006A1392" w:rsidRDefault="0052732D" w:rsidP="00F16E68"/>
                        <w:p w:rsidR="0052732D" w:rsidRPr="006A1392" w:rsidRDefault="0052732D" w:rsidP="00F16E68"/>
                        <w:p w:rsidR="0052732D" w:rsidRPr="006A1392" w:rsidRDefault="0052732D" w:rsidP="00F16E68"/>
                        <w:p w:rsidR="0052732D" w:rsidRPr="006A1392" w:rsidRDefault="0052732D" w:rsidP="00F16E68"/>
                        <w:p w:rsidR="0052732D" w:rsidRPr="006A1392" w:rsidRDefault="0052732D" w:rsidP="00F16E68"/>
                        <w:p w:rsidR="0052732D" w:rsidRPr="006A1392" w:rsidRDefault="0052732D" w:rsidP="00F16E68"/>
                        <w:p w:rsidR="0052732D" w:rsidRPr="006A1392" w:rsidRDefault="0052732D" w:rsidP="00F16E68"/>
                        <w:p w:rsidR="0052732D" w:rsidRPr="006A1392" w:rsidRDefault="0052732D" w:rsidP="00F16E68"/>
                        <w:p w:rsidR="0052732D" w:rsidRPr="006A1392" w:rsidRDefault="0052732D" w:rsidP="00F16E68"/>
                        <w:p w:rsidR="0052732D" w:rsidRPr="006A1392" w:rsidRDefault="0052732D" w:rsidP="00F16E68"/>
                        <w:p w:rsidR="0052732D" w:rsidRPr="006A1392" w:rsidRDefault="0052732D" w:rsidP="00F16E68"/>
                        <w:p w:rsidR="0052732D" w:rsidRPr="006A1392" w:rsidRDefault="0052732D" w:rsidP="00F16E68"/>
                      </w:txbxContent>
                    </v:textbox>
                  </v:oval>
                  <v:oval id="Ovale 5" o:spid="_x0000_s1031" style="position:absolute;left:1963;top:3926;width:8402;height:67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FR0wwAAANsAAAAPAAAAZHJzL2Rvd25yZXYueG1sRI/disIw&#10;FITvhX2HcBa801QFLV2jyIKwFyr48wCH5mxatjmpTba2Pr0RBC+HmfmGWa47W4mWGl86VjAZJyCI&#10;c6dLNgou5+0oBeEDssbKMSnoycN69TFYYqbdjY/UnoIREcI+QwVFCHUmpc8LsujHriaO3q9rLIYo&#10;GyN1g7cIt5WcJslcWiw5LhRY03dB+d/p3yow9/awmKRXc6363fye7MPm0mulhp/d5gtEoC68w6/2&#10;j1Ywm8HzS/wBcvUAAAD//wMAUEsBAi0AFAAGAAgAAAAhANvh9svuAAAAhQEAABMAAAAAAAAAAAAA&#10;AAAAAAAAAFtDb250ZW50X1R5cGVzXS54bWxQSwECLQAUAAYACAAAACEAWvQsW78AAAAVAQAACwAA&#10;AAAAAAAAAAAAAAAfAQAAX3JlbHMvLnJlbHNQSwECLQAUAAYACAAAACEAAZxUdMMAAADbAAAADwAA&#10;AAAAAAAAAAAAAAAHAgAAZHJzL2Rvd25yZXYueG1sUEsFBgAAAAADAAMAtwAAAPcCAAAAAA==&#10;" fillcolor="#deebf7" strokecolor="#2f528f" strokeweight="1pt">
                    <v:fill opacity="41891f"/>
                    <v:stroke joinstyle="miter"/>
                    <v:textbox>
                      <w:txbxContent>
                        <w:p w:rsidR="0052732D" w:rsidRPr="004B6C86" w:rsidRDefault="0052732D" w:rsidP="009603EF">
                          <w:pPr>
                            <w:rPr>
                              <w:sz w:val="14"/>
                              <w:szCs w:val="14"/>
                            </w:rPr>
                          </w:pPr>
                          <w:r w:rsidRPr="004B6C86">
                            <w:rPr>
                              <w:sz w:val="14"/>
                              <w:szCs w:val="14"/>
                            </w:rPr>
                            <w:t>Users of drug A</w:t>
                          </w:r>
                        </w:p>
                      </w:txbxContent>
                    </v:textbox>
                  </v:oval>
                  <w10:wrap type="tight"/>
                </v:group>
              </w:pict>
            </w:r>
          </w:p>
        </w:tc>
      </w:tr>
    </w:tbl>
    <w:p w:rsidR="00B367DE" w:rsidRDefault="00B367DE" w:rsidP="00F16E68">
      <w:r w:rsidRPr="00AA747B">
        <w:t xml:space="preserve">The upper (maximum) joint estimate reflects the opposite scenario, where the group of users of drug A is completely separate from the group users of drug B; that is, none of the users of drug A consume drug B (and vice versa). </w:t>
      </w:r>
    </w:p>
    <w:p w:rsidR="00B367DE" w:rsidRDefault="00E32DAC" w:rsidP="009603EF">
      <w:r w:rsidRPr="00E32DAC">
        <w:rPr>
          <w:noProof/>
        </w:rPr>
        <w:lastRenderedPageBreak/>
        <w:pict>
          <v:oval id="Oval 30" o:spid="_x0000_s1032" style="position:absolute;left:0;text-align:left;margin-left:50.8pt;margin-top:9.4pt;width:106.5pt;height:95.3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F4lQIAAFQFAAAOAAAAZHJzL2Uyb0RvYy54bWysVEtv2zAMvg/YfxB0X2xnztoadYogQYYB&#10;WVugLXpWZDkWptckJXb360dJTpqtOwzDLoL40EfyE8nrm0EKdGDWca1qXExyjJiiuuFqV+Onx/WH&#10;S4ycJ6ohQitW4xfm8M38/bvr3lRsqjstGmYRgChX9abGnfemyjJHOyaJm2jDFBhbbSXxINpd1ljS&#10;A7oU2TTPP2W9to2xmjLnQLtKRjyP+G3LqL9rW8c8EjWG3Hw8bTy34czm16TaWWI6Tsc0yD9kIQlX&#10;EPQEtSKeoL3lb6Akp1Y73foJ1TLTbcspizVANUX+WzUPHTEs1gLkOHOiyf0/WHp7eDD3NqTuzEbT&#10;bw4YyXrjqpMlCG70GVorgy8kjobI4suJRTZ4REFZfJxNZzMgm4KtmBb5VTkLPGekOj431vnPTEsU&#10;LjVmQnDjQqWkIoeN88n76BWT04I3ay5EFOxuuxQWHQj86nq9zPM8vhV7+VU3SQ3NAdr4vaCGJkjq&#10;y6MasnEJJmbmzvGFQn1I/QIQECXQlq0gHq7SNDV2aocRETvod+ptDPzL6xE2xSvLi+myTE4daVjS&#10;zv4mi1D+irguPYkhUj2Se5gZwWWNYzmxTKhHqEAOi10/kvj6d+Hmh+2AOJRQBqCg2erm5d4iq9Ng&#10;OEPXHMJuiPP3xMIkAAEw3f4OjlZoYEWPN4w6bX/8SR/8oUHBilEPkwWMfd8TyzASXxS07lVRlmEU&#10;o1DOLqYg2HPL9tyi9nKp4ZsL2COGxmvw9+J4ba2Wz7AEFiEqmIiiEDv9zSgsfZp4WCOULRbRDcbP&#10;EL9RD4YG8MBcIPxxeCbWjH3poaVv9XEK3/Rm8g0vlV7svW55bNxXXsdJgtGNPTaumbAbzuXo9boM&#10;5z8BAAD//wMAUEsDBBQABgAIAAAAIQBlNgkp3wAAAAoBAAAPAAAAZHJzL2Rvd25yZXYueG1sTI9B&#10;T4NAEIXvJv6HzZh4swtVaktZGm1iUk08tBLPCzsCgZ0l7NLiv3c86W3ezMub72W72fbijKNvHSmI&#10;FxEIpMqZlmoFxcfL3RqED5qM7h2hgm/0sMuvrzKdGnehI55PoRYcQj7VCpoQhlRKXzVotV+4AYlv&#10;X260OrAca2lGfeFw28tlFK2k1S3xh0YPuG+w6k6TVVC/HTtTzEliPl+fu8OheHyf9qVStzfz0xZE&#10;wDn8meEXn9EhZ6bSTWS86FlH8YqtPKy5Ahvu4wdelAqW0SYBmWfyf4X8BwAA//8DAFBLAQItABQA&#10;BgAIAAAAIQC2gziS/gAAAOEBAAATAAAAAAAAAAAAAAAAAAAAAABbQ29udGVudF9UeXBlc10ueG1s&#10;UEsBAi0AFAAGAAgAAAAhADj9If/WAAAAlAEAAAsAAAAAAAAAAAAAAAAALwEAAF9yZWxzLy5yZWxz&#10;UEsBAi0AFAAGAAgAAAAhAF6SYXiVAgAAVAUAAA4AAAAAAAAAAAAAAAAALgIAAGRycy9lMm9Eb2Mu&#10;eG1sUEsBAi0AFAAGAAgAAAAhAGU2CSnfAAAACgEAAA8AAAAAAAAAAAAAAAAA7wQAAGRycy9kb3du&#10;cmV2LnhtbFBLBQYAAAAABAAEAPMAAAD7BQAAAAA=&#10;" fillcolor="#fff2cc" strokecolor="#2f528f" strokeweight="1pt">
            <v:stroke joinstyle="miter"/>
            <v:path arrowok="t"/>
            <v:textbox>
              <w:txbxContent>
                <w:p w:rsidR="0052732D" w:rsidRPr="006A1392" w:rsidRDefault="0052732D" w:rsidP="009603EF">
                  <w:r w:rsidRPr="006A1392">
                    <w:t>Users of drug A</w:t>
                  </w:r>
                </w:p>
              </w:txbxContent>
            </v:textbox>
          </v:oval>
        </w:pict>
      </w:r>
    </w:p>
    <w:p w:rsidR="00B367DE" w:rsidRDefault="00E32DAC" w:rsidP="009603EF">
      <w:r w:rsidRPr="00E32DAC">
        <w:rPr>
          <w:noProof/>
        </w:rPr>
        <w:pict>
          <v:oval id="Oval 29" o:spid="_x0000_s1033" style="position:absolute;left:0;text-align:left;margin-left:0;margin-top:5.85pt;width:77.2pt;height:70.7pt;z-index:251658241;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UIAIAAC0EAAAOAAAAZHJzL2Uyb0RvYy54bWysU9uO2yAQfa/Uf0C8N3aspEmsOKttLlWl&#10;7bbSth+AMbZRMdCBxE6/vgPOZtPLU1UeEMMwhzlnZtZ3Q6fISYCTRhd0OkkpEZqbSuqmoF+/HN4s&#10;KXGe6Yopo0VBz8LRu83rV+ve5iIzrVGVAIIg2uW9LWjrvc2TxPFWdMxNjBUanbWBjnk0oUkqYD2i&#10;dyrJ0vRt0huoLBgunMPb3eikm4hf14L7T3XthCeqoJibjzvEvQx7slmzvAFmW8kvabB/yKJjUuOn&#10;V6gd84wcQf4B1UkOxpnaT7jpElPXkovIAdlM09/YPLXMisgFxXH2KpP7f7D88fRkP0NI3dkHw785&#10;os22ZboR9wCmbwWr8LtpECrprcuvAcFwGErK/qOpsLTs6E3UYKihC4DIjgxR6vNVajF4wvFytUxn&#10;MywIR9dytViuYikSlj8HW3D+vTAdCYeCCqWkdUEMlrPTg/MhH5Y/v4r5GyWrg1QqGtCUWwXkxLDw&#10;u/3+3WERKSDN22dKkx7ZZYs0jdC/ON0tRnaYZ8vD3zA66bGFleyQSRrW2FRBub2uYoN5JtV4xpyV&#10;vkgZ1AuN6nI/lAORVUHnITbclKY6o7Zgxo7FCcNDa+AHJT12a0Hd9yMDQYn6oLE+q2lU00djNl9k&#10;KC3cespbD9McoQrKPVAyGls/DsXRgmxa/Gsa9dDmHqtayyj3S14XAtiTsQqX+QlNf2vHVy9TvvkJ&#10;AAD//wMAUEsDBBQABgAIAAAAIQDuoxKl3QAAAAcBAAAPAAAAZHJzL2Rvd25yZXYueG1sTI9BT8Mw&#10;DIXvSPyHyEhcEEsLG9DSdAIkjtNgTOLqNV5TrXFKk26FX096gpufn/Xe52I52lYcqfeNYwXpLAFB&#10;XDndcK1g+/F6/QDCB2SNrWNS8E0eluX5WYG5did+p+Mm1CKGsM9RgQmhy6X0lSGLfuY64ujtXW8x&#10;RNnXUvd4iuG2lTdJcictNhwbDHb0Yqg6bAarYLV4y/Y/Mlt/pdvV4A5Xz/YzM0pdXoxPjyACjeHv&#10;GCb8iA5lZNq5gbUXrYL4SIjb9B7E5C7mcxC7abhNQZaF/M9f/gIAAP//AwBQSwECLQAUAAYACAAA&#10;ACEAtoM4kv4AAADhAQAAEwAAAAAAAAAAAAAAAAAAAAAAW0NvbnRlbnRfVHlwZXNdLnhtbFBLAQIt&#10;ABQABgAIAAAAIQA4/SH/1gAAAJQBAAALAAAAAAAAAAAAAAAAAC8BAABfcmVscy8ucmVsc1BLAQIt&#10;ABQABgAIAAAAIQAL+rtUIAIAAC0EAAAOAAAAAAAAAAAAAAAAAC4CAABkcnMvZTJvRG9jLnhtbFBL&#10;AQItABQABgAIAAAAIQDuoxKl3QAAAAcBAAAPAAAAAAAAAAAAAAAAAHoEAABkcnMvZG93bnJldi54&#10;bWxQSwUGAAAAAAQABADzAAAAhAUAAAAA&#10;" fillcolor="#deebf7" strokecolor="#2f528f" strokeweight="1pt">
            <v:stroke joinstyle="miter"/>
            <v:textbox>
              <w:txbxContent>
                <w:p w:rsidR="0052732D" w:rsidRPr="004B6C86" w:rsidRDefault="0052732D" w:rsidP="009603EF">
                  <w:pPr>
                    <w:rPr>
                      <w:sz w:val="22"/>
                      <w:szCs w:val="22"/>
                    </w:rPr>
                  </w:pPr>
                  <w:r w:rsidRPr="004B6C86">
                    <w:rPr>
                      <w:sz w:val="22"/>
                      <w:szCs w:val="22"/>
                    </w:rPr>
                    <w:t xml:space="preserve">Users of Drug B </w:t>
                  </w:r>
                </w:p>
              </w:txbxContent>
            </v:textbox>
            <w10:wrap anchorx="margin"/>
          </v:oval>
        </w:pict>
      </w:r>
    </w:p>
    <w:p w:rsidR="00B367DE" w:rsidRDefault="00B367DE" w:rsidP="009603EF"/>
    <w:p w:rsidR="00B367DE" w:rsidRDefault="00B367DE" w:rsidP="009603EF"/>
    <w:p w:rsidR="00B367DE" w:rsidRDefault="00B367DE" w:rsidP="009603EF"/>
    <w:p w:rsidR="00B367DE" w:rsidRPr="00F816D0" w:rsidRDefault="00B367DE" w:rsidP="009603EF">
      <w:r w:rsidRPr="00F816D0">
        <w:t xml:space="preserve">Therefore, the upper (maximum) joint estimate for the two drugs is the sum of the prevalence of the drug A and drug B; in other words, </w:t>
      </w:r>
      <w:r w:rsidRPr="00F816D0">
        <w:rPr>
          <w:b/>
          <w:bCs/>
        </w:rPr>
        <w:t xml:space="preserve">Z </w:t>
      </w:r>
      <w:r w:rsidRPr="00F816D0">
        <w:rPr>
          <w:b/>
          <w:bCs/>
          <w:vertAlign w:val="subscript"/>
        </w:rPr>
        <w:t>max</w:t>
      </w:r>
      <w:r w:rsidRPr="00F816D0">
        <w:rPr>
          <w:b/>
          <w:bCs/>
        </w:rPr>
        <w:t xml:space="preserve"> = P</w:t>
      </w:r>
      <w:r w:rsidRPr="00F816D0">
        <w:rPr>
          <w:b/>
          <w:bCs/>
          <w:vertAlign w:val="subscript"/>
        </w:rPr>
        <w:t>A</w:t>
      </w:r>
      <w:r w:rsidRPr="00F816D0">
        <w:rPr>
          <w:b/>
          <w:bCs/>
        </w:rPr>
        <w:t xml:space="preserve"> + P</w:t>
      </w:r>
      <w:r w:rsidRPr="00F816D0">
        <w:rPr>
          <w:b/>
          <w:bCs/>
          <w:vertAlign w:val="subscript"/>
        </w:rPr>
        <w:t>B</w:t>
      </w:r>
      <w:r w:rsidRPr="00F816D0">
        <w:t>.</w:t>
      </w:r>
    </w:p>
    <w:p w:rsidR="00B367DE" w:rsidRPr="00195CBC" w:rsidRDefault="00B367DE" w:rsidP="00F16E68">
      <w:r w:rsidRPr="00F816D0">
        <w:t>The best estimate is obtained as the midpoint between Z</w:t>
      </w:r>
      <w:r>
        <w:t xml:space="preserve"> </w:t>
      </w:r>
      <w:r w:rsidRPr="00195CBC">
        <w:rPr>
          <w:vertAlign w:val="subscript"/>
        </w:rPr>
        <w:t>min</w:t>
      </w:r>
      <w:r w:rsidRPr="00195CBC">
        <w:t xml:space="preserve"> and Z</w:t>
      </w:r>
      <w:r>
        <w:t xml:space="preserve"> </w:t>
      </w:r>
      <w:r w:rsidRPr="00195CBC">
        <w:rPr>
          <w:vertAlign w:val="subscript"/>
        </w:rPr>
        <w:t>max</w:t>
      </w:r>
      <w:r w:rsidRPr="00F816D0">
        <w:t xml:space="preserve">; that is </w:t>
      </w:r>
      <w:r w:rsidRPr="00195CBC">
        <w:rPr>
          <w:b/>
          <w:bCs/>
        </w:rPr>
        <w:t xml:space="preserve">Z </w:t>
      </w:r>
      <w:r w:rsidRPr="00195CBC">
        <w:rPr>
          <w:b/>
          <w:bCs/>
          <w:vertAlign w:val="subscript"/>
        </w:rPr>
        <w:t>best</w:t>
      </w:r>
      <w:r w:rsidRPr="00195CBC">
        <w:rPr>
          <w:b/>
          <w:bCs/>
        </w:rPr>
        <w:t xml:space="preserve"> = (Z</w:t>
      </w:r>
      <w:r>
        <w:rPr>
          <w:b/>
          <w:bCs/>
        </w:rPr>
        <w:t xml:space="preserve"> </w:t>
      </w:r>
      <w:r w:rsidRPr="00195CBC">
        <w:rPr>
          <w:b/>
          <w:bCs/>
          <w:vertAlign w:val="subscript"/>
        </w:rPr>
        <w:t>max</w:t>
      </w:r>
      <w:r w:rsidRPr="00195CBC">
        <w:rPr>
          <w:b/>
          <w:bCs/>
        </w:rPr>
        <w:t xml:space="preserve"> + Z</w:t>
      </w:r>
      <w:r>
        <w:rPr>
          <w:b/>
          <w:bCs/>
        </w:rPr>
        <w:t xml:space="preserve"> </w:t>
      </w:r>
      <w:r w:rsidRPr="00195CBC">
        <w:rPr>
          <w:b/>
          <w:bCs/>
          <w:vertAlign w:val="subscript"/>
        </w:rPr>
        <w:t>min</w:t>
      </w:r>
      <w:r w:rsidRPr="00195CBC">
        <w:rPr>
          <w:b/>
          <w:bCs/>
        </w:rPr>
        <w:t>)/2</w:t>
      </w:r>
      <w:r w:rsidRPr="00195CBC">
        <w:t>. This represents a scenario in between the two extremes, where some of drug A users consume also drug B.</w:t>
      </w:r>
    </w:p>
    <w:p w:rsidR="00B367DE" w:rsidRPr="00195CBC" w:rsidRDefault="00B367DE" w:rsidP="00F16E68"/>
    <w:p w:rsidR="00B367DE" w:rsidRDefault="00E32DAC" w:rsidP="00F16E68">
      <w:r w:rsidRPr="00E32DAC">
        <w:rPr>
          <w:noProof/>
        </w:rPr>
        <w:pict>
          <v:oval id="Oval 28" o:spid="_x0000_s1034" style="position:absolute;left:0;text-align:left;margin-left:46.8pt;margin-top:1.5pt;width:106.5pt;height:106pt;z-index:25165824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1ykgIAAFQFAAAOAAAAZHJzL2Uyb0RvYy54bWysVEtv2zAMvg/YfxB0X52kTtsZdYogRYYB&#10;WVugHXpmZDkWptckJU7360dJTpqtOwzDLoL40EfyE8nrm72SZMedF0bXdHw2ooRrZhqhNzX9+rT8&#10;cEWJD6AbkEbzmr5wT29m799d97biE9MZ2XBHEET7qrc17UKwVVF41nEF/sxYrtHYGqcgoOg2ReOg&#10;R3Qli8lodFH0xjXWGca9R+1tNtJZwm9bzsJ923oeiKwp5hbS6dK5jmcxu4Zq48B2gg1pwD9koUBo&#10;DHqEuoUAZOvEGyglmDPetOGMGVWYthWMpxqwmvHot2oeO7A81YLkeHukyf8/WHa3e7QPLqbu7cqw&#10;bx4ZKXrrq6MlCn7w2bdORV9MnOwTiy9HFvk+EIbK8fl0Mp0i2Qxt4/PyAv8p8lxAdXhunQ+fuFEk&#10;XmrKpRTWx0qhgt3Kh+x98ErJGSmapZAyCW6zXkhHdoC/ulwuRhgg6uVWfTFNVmPQHDapsQmy+uqg&#10;xmx8hkmZ+VN8qUmPqU8uEYEwwLZsJQS8KtvU1OsNJSA32O8suBT4l9cDbI5XlpeTRZmdOmh41k7/&#10;JotY/i34Lj9JIXK7KhFwZqRQNU3lHNiVOpLAU9cPJL7+XbyF/XpPBJZwEYGiZm2alwdHnMmD4S1b&#10;Cgy7Ah8ewOEkIAE43eEej1YaZMUMN0o64378SR/9sUHRSkmPk4WMfd+C45TIzxpb9+O4LOMoJqGc&#10;Xk5QcKeW9alFb9XC4DePcY9Ylq7RP8jDtXVGPeMSmMeoaALNMHb+m0FYhDzxuEYYn8+TG46fhbDS&#10;j5ZF8MhcJPxp/wzODn0ZsKXvzGEK3/Rm9o0vtZlvg2lFatxXXodJwtFNPTasmbgbTuXk9boMZz8B&#10;AAD//wMAUEsDBBQABgAIAAAAIQBTER1B3gAAAAgBAAAPAAAAZHJzL2Rvd25yZXYueG1sTI9BT4NA&#10;FITvJv6HzTPxZpeWgIo8Gm1iUk16aCWeF3YFAvuWsEuL/97nSY+Tmcx8k28XO4izmXznCGG9ikAY&#10;qp3uqEEoP17vHkD4oEirwZFB+DYetsX1Va4y7S50NOdTaASXkM8UQhvCmEnp69ZY5VduNMTel5us&#10;CiynRupJXbjcDnITRam0qiNeaNVodq2p+9NsEZr3Y6/LJUn059tLv9+X94d5VyHe3izPTyCCWcJf&#10;GH7xGR0KZqrcTNqLAeExTjmJEPMjtuMoZV0hbNZJBLLI5f8DxQ8AAAD//wMAUEsBAi0AFAAGAAgA&#10;AAAhALaDOJL+AAAA4QEAABMAAAAAAAAAAAAAAAAAAAAAAFtDb250ZW50X1R5cGVzXS54bWxQSwEC&#10;LQAUAAYACAAAACEAOP0h/9YAAACUAQAACwAAAAAAAAAAAAAAAAAvAQAAX3JlbHMvLnJlbHNQSwEC&#10;LQAUAAYACAAAACEAjGqdcpICAABUBQAADgAAAAAAAAAAAAAAAAAuAgAAZHJzL2Uyb0RvYy54bWxQ&#10;SwECLQAUAAYACAAAACEAUxEdQd4AAAAIAQAADwAAAAAAAAAAAAAAAADsBAAAZHJzL2Rvd25yZXYu&#10;eG1sUEsFBgAAAAAEAAQA8wAAAPcFAAAAAA==&#10;" fillcolor="#fff2cc" strokecolor="#2f528f" strokeweight="1pt">
            <v:stroke joinstyle="miter"/>
            <v:path arrowok="t"/>
            <v:textbox>
              <w:txbxContent>
                <w:p w:rsidR="0052732D" w:rsidRPr="006A1392" w:rsidRDefault="0052732D" w:rsidP="009603EF">
                  <w:r w:rsidRPr="006A1392">
                    <w:t>Users of</w:t>
                  </w:r>
                </w:p>
                <w:p w:rsidR="0052732D" w:rsidRPr="006A1392" w:rsidRDefault="0052732D" w:rsidP="009603EF">
                  <w:r w:rsidRPr="006A1392">
                    <w:t xml:space="preserve">drug A </w:t>
                  </w:r>
                </w:p>
              </w:txbxContent>
            </v:textbox>
          </v:oval>
        </w:pict>
      </w:r>
    </w:p>
    <w:p w:rsidR="00B367DE" w:rsidRDefault="00E32DAC" w:rsidP="00F16E68">
      <w:r w:rsidRPr="00E32DAC">
        <w:rPr>
          <w:noProof/>
        </w:rPr>
        <w:pict>
          <v:oval id="Oval 27" o:spid="_x0000_s1035" style="position:absolute;left:0;text-align:left;margin-left:137.6pt;margin-top:.75pt;width:77.5pt;height:68.5pt;z-index:25165824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ZlmwIAAGgFAAAOAAAAZHJzL2Uyb0RvYy54bWysVEtv2zAMvg/YfxB0X50ETpMYTYo0QYcB&#10;2VqgHXpmZDkWptckJXb360fJzmPrsMOwi0CR1EfyE8mb21ZJcuDOC6PndHg1oIRrZkqhd3P69fn+&#10;w5QSH0CXII3mc/rKPb1dvH9309iCj0xtZMkdQRDti8bOaR2CLbLMs5or8FfGco3GyjgFAa9ul5UO&#10;GkRXMhsNBtdZY1xpnWHce9SuOyNdJPyq4iw8VJXngcg5xdxCOl06t/HMFjdQ7BzYWrA+DfiHLBQI&#10;jUFPUGsIQPZOvIFSgjnjTRWumFGZqSrBeKoBqxkOfqvmqQbLUy1Ijrcnmvz/g2VfDk/20cXUvd0Y&#10;9s0jI1ljfXGyxIvvfdrKqeiLiZM2sfh6YpG3gTBUzqb5aIxcMzRNr2czlCMmFMfH1vnwkRtFojCn&#10;XEphfawTCjhsfOi8j14pNSNFeS+kTBe3266kIwfAPx3fze7W4/RW7tVnU3ZqbI1B/7moxhbo1NOz&#10;GqStoceY9M6Yo+/AU77+MqrUpMEGH6EvlgbYqpWEgKKy5Zx6vaME5A5ngAWX0vnldQ/bxcvzyWiV&#10;d041lLzP4pjb37KIpKzB192TFKJrYSUCzpEUCjmPQEfOpY6U8TQJPbXn/4xSaLctEVjCJAJFzdaU&#10;r4+OONMNi7fsXmDYDfjwCA6nAwnAiQ8PeFTSICumlyipjfvxJ330x6ZFKyUNThsy9n0PjlMiP2ls&#10;59kwz+N4pks+nozw4i4t20uL3quVwc8f4m6xLInRP8ijWDmjXnAxLGNUNIFmGLv7m/6yCt0WwNXC&#10;+HKZ3HAkLYSNfrIsgkfmIuHP7Qs423drwDb/Yo6T+aZjO9/4UpvlPphKpHY+89pPF45z6rF+9cR9&#10;cXlPXucFufgJAAD//wMAUEsDBBQABgAIAAAAIQBCYr5f3wAAAAkBAAAPAAAAZHJzL2Rvd25yZXYu&#10;eG1sTI/LToRAEEX3Jv5Dp0zcOY3MoARpJj7ixqiJ89Cwa+gSiHQ1oXsG/HvLlS5P7s2tU/l6tr04&#10;4ug7RwouFxEIpNqZjhoFu+3jRQrCB01G945QwTd6WBenJ7nOjJvoDY+b0AgeIZ9pBW0IQyalr1u0&#10;2i/cgMTZpxutDoxjI82oJx63vYyj6Epa3RFfaPWA9y3WX5uDVVCV+/T9pSwfXofV9PH8ZKv93VQp&#10;dX42396ACDiHvzL86rM6FOxUuQMZL3oF8XUSc5WDBATnq2XEXDEv0wRkkcv/HxQ/AAAA//8DAFBL&#10;AQItABQABgAIAAAAIQC2gziS/gAAAOEBAAATAAAAAAAAAAAAAAAAAAAAAABbQ29udGVudF9UeXBl&#10;c10ueG1sUEsBAi0AFAAGAAgAAAAhADj9If/WAAAAlAEAAAsAAAAAAAAAAAAAAAAALwEAAF9yZWxz&#10;Ly5yZWxzUEsBAi0AFAAGAAgAAAAhAAB9lmWbAgAAaAUAAA4AAAAAAAAAAAAAAAAALgIAAGRycy9l&#10;Mm9Eb2MueG1sUEsBAi0AFAAGAAgAAAAhAEJivl/fAAAACQEAAA8AAAAAAAAAAAAAAAAA9QQAAGRy&#10;cy9kb3ducmV2LnhtbFBLBQYAAAAABAAEAPMAAAABBgAAAAA=&#10;" fillcolor="#deebf7" strokecolor="#2f528f" strokeweight="1pt">
            <v:fill opacity="37265f"/>
            <v:stroke joinstyle="miter"/>
            <v:path arrowok="t"/>
            <v:textbox>
              <w:txbxContent>
                <w:p w:rsidR="0052732D" w:rsidRPr="006A1392" w:rsidRDefault="0052732D" w:rsidP="009603EF">
                  <w:r w:rsidRPr="006A1392">
                    <w:t>Users of drug B</w:t>
                  </w:r>
                </w:p>
              </w:txbxContent>
            </v:textbox>
          </v:oval>
        </w:pict>
      </w:r>
    </w:p>
    <w:p w:rsidR="00B367DE" w:rsidRDefault="00B367DE" w:rsidP="00F16E68"/>
    <w:p w:rsidR="00B367DE" w:rsidRDefault="00B367DE" w:rsidP="00F16E68"/>
    <w:p w:rsidR="00D358AE" w:rsidRPr="00BE69C5" w:rsidRDefault="00D358AE" w:rsidP="00F16E68">
      <w:pPr>
        <w:pStyle w:val="3"/>
      </w:pPr>
      <w:bookmarkStart w:id="39" w:name="_Toc108702206"/>
      <w:r w:rsidRPr="00BE69C5">
        <w:t>Extrapolation of results from lifetime prevalence to annual prevalence</w:t>
      </w:r>
      <w:bookmarkEnd w:id="39"/>
      <w:r w:rsidRPr="00BE69C5">
        <w:t xml:space="preserve"> </w:t>
      </w:r>
    </w:p>
    <w:p w:rsidR="00D358AE" w:rsidRPr="0036585D" w:rsidRDefault="00D358AE" w:rsidP="00F16E68">
      <w:r w:rsidRPr="0036585D">
        <w:t xml:space="preserve">Some countries have conducted surveys in recent years without asking the question whether drug consumption took place over the last year. In such cases, results were extrapolated to reach annual prevalence estimates. For example, country X in West and Central Europe reported a lifetime prevalence of cocaine use of 2%. </w:t>
      </w:r>
      <w:r w:rsidR="00BF2C93" w:rsidRPr="0036585D">
        <w:t>As an example, t</w:t>
      </w:r>
      <w:r w:rsidRPr="0036585D">
        <w:t xml:space="preserve">aking data for lifetime and annual prevalence of cocaine use in countries of West and Central Europe, it can be shown that there is a strong positive correlation between the two measures (correlation coefficient R = 0.94); that is, the higher the lifetime prevalence, the higher the annual prevalence and vice versa. Based on the resulting regression </w:t>
      </w:r>
      <w:r w:rsidR="000D1225" w:rsidRPr="0036585D">
        <w:t>line</w:t>
      </w:r>
      <w:r w:rsidRPr="0036585D">
        <w:t xml:space="preserve"> (</w:t>
      </w:r>
      <w:r w:rsidR="000D1225" w:rsidRPr="0036585D">
        <w:t>with</w:t>
      </w:r>
      <w:r w:rsidRPr="0036585D">
        <w:t xml:space="preserve"> annual prevalence </w:t>
      </w:r>
      <w:r w:rsidR="000D1225" w:rsidRPr="0036585D">
        <w:t xml:space="preserve">as the dependent variable </w:t>
      </w:r>
      <w:r w:rsidRPr="0036585D">
        <w:t>and lifetime prevalence</w:t>
      </w:r>
      <w:r w:rsidR="000D1225" w:rsidRPr="0036585D">
        <w:t xml:space="preserve"> as the independent variable</w:t>
      </w:r>
      <w:r w:rsidRPr="0036585D">
        <w:t xml:space="preserve">) it can be </w:t>
      </w:r>
      <w:r w:rsidRPr="0036585D">
        <w:lastRenderedPageBreak/>
        <w:t xml:space="preserve">estimated that a country in West and Central Europe with a lifetime prevalence of 2% is likely to have an annual prevalence of around 0.7% (see figure). Almost the same result is obtained by calculating the ratio of the unweighted </w:t>
      </w:r>
      <w:r w:rsidR="000D1225" w:rsidRPr="0036585D">
        <w:t xml:space="preserve">average of </w:t>
      </w:r>
      <w:r w:rsidRPr="0036585D">
        <w:t>annual prevalence rates of the West and Central European countries and the unweighted</w:t>
      </w:r>
      <w:r w:rsidR="000D1225" w:rsidRPr="0036585D">
        <w:t xml:space="preserve"> average</w:t>
      </w:r>
      <w:r w:rsidRPr="0036585D">
        <w:t xml:space="preserve"> lifetime prevalence rate (0.93/2.61 = 0.356) and multiplying this ratio with the lifetime prevalence of the country concerned (2% * 0.356 = 0.7%).</w:t>
      </w:r>
    </w:p>
    <w:p w:rsidR="00D358AE" w:rsidRPr="009603EF" w:rsidRDefault="00FB030D" w:rsidP="009603EF">
      <w:pPr>
        <w:rPr>
          <w:b/>
          <w:bCs/>
        </w:rPr>
      </w:pPr>
      <w:r w:rsidRPr="009603EF">
        <w:rPr>
          <w:b/>
          <w:bCs/>
        </w:rPr>
        <w:t xml:space="preserve">Figure: </w:t>
      </w:r>
      <w:r w:rsidR="00BF2C93" w:rsidRPr="009603EF">
        <w:rPr>
          <w:b/>
          <w:bCs/>
        </w:rPr>
        <w:t>Example of a</w:t>
      </w:r>
      <w:r w:rsidR="00D358AE" w:rsidRPr="009603EF">
        <w:rPr>
          <w:b/>
          <w:bCs/>
        </w:rPr>
        <w:t xml:space="preserve">nnual and lifetime prevalence rates of cocaine use in West and Central Europe </w:t>
      </w:r>
    </w:p>
    <w:p w:rsidR="00D358AE" w:rsidRPr="0092693B" w:rsidRDefault="00165DE8" w:rsidP="009603EF">
      <w:r>
        <w:rPr>
          <w:noProof/>
          <w:lang w:val="en-US" w:eastAsia="zh-CN"/>
        </w:rPr>
        <w:drawing>
          <wp:inline distT="0" distB="0" distL="0" distR="0">
            <wp:extent cx="4686300" cy="2676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889" t="3221" r="1889" b="3221"/>
                    <a:stretch>
                      <a:fillRect/>
                    </a:stretch>
                  </pic:blipFill>
                  <pic:spPr bwMode="auto">
                    <a:xfrm>
                      <a:off x="0" y="0"/>
                      <a:ext cx="4686300" cy="2676525"/>
                    </a:xfrm>
                    <a:prstGeom prst="rect">
                      <a:avLst/>
                    </a:prstGeom>
                    <a:solidFill>
                      <a:srgbClr val="000080"/>
                    </a:solidFill>
                    <a:ln>
                      <a:noFill/>
                    </a:ln>
                  </pic:spPr>
                </pic:pic>
              </a:graphicData>
            </a:graphic>
          </wp:inline>
        </w:drawing>
      </w:r>
    </w:p>
    <w:p w:rsidR="00D358AE" w:rsidRPr="009603EF" w:rsidRDefault="00D358AE" w:rsidP="009603EF">
      <w:pPr>
        <w:rPr>
          <w:rFonts w:eastAsia="SimSun"/>
          <w:sz w:val="20"/>
          <w:szCs w:val="20"/>
          <w:lang w:eastAsia="zh-CN"/>
        </w:rPr>
      </w:pPr>
      <w:r w:rsidRPr="009603EF">
        <w:rPr>
          <w:rFonts w:eastAsia="SimSun"/>
          <w:sz w:val="20"/>
          <w:szCs w:val="20"/>
          <w:lang w:eastAsia="zh-CN"/>
        </w:rPr>
        <w:t>Sources: UNODC, Annual Reports Questionnaire Data / EMCDDA, Annual Report.</w:t>
      </w:r>
    </w:p>
    <w:p w:rsidR="00D358AE" w:rsidRPr="0036585D" w:rsidRDefault="00D358AE" w:rsidP="00F16E68">
      <w:r w:rsidRPr="0085745A">
        <w:t>A similar approach was used to calculate the overall ratio by averaging the annual/lifetime ratios, calculated for each country. Multiplying the resulting average ratio (</w:t>
      </w:r>
      <w:r w:rsidR="00275B80">
        <w:t>0.387</w:t>
      </w:r>
      <w:r w:rsidRPr="0085745A">
        <w:t xml:space="preserve">) with the lifetime prevalence of the country concerned provides the estimate for the annual prevalence (0.387 * 2% = 0.8%). There is a close </w:t>
      </w:r>
      <w:r w:rsidR="00197AF1" w:rsidRPr="0085745A">
        <w:t>correlation</w:t>
      </w:r>
      <w:r w:rsidRPr="002E1D6F">
        <w:t xml:space="preserve"> observed between lifetime and annual prevalence (and an even stronger correlation between annual prevalence and monthly prevalence). Solid results (showing small potential errors) can only be expected from extrapolations done for a country in the same region. If instead of using the West and Central European average (0.387), the ratio found in the USA was used (0.17), the estimate for a country with a lifetime prevalence of cocaine use of 2% would </w:t>
      </w:r>
      <w:r w:rsidR="00AD60C4" w:rsidRPr="0036585D">
        <w:t>instead amount</w:t>
      </w:r>
      <w:r w:rsidRPr="0036585D">
        <w:t xml:space="preserve"> to 0.3% (2% * 0.17). Such an estimate is likely to be correct for a country with a drug history similar to the </w:t>
      </w:r>
      <w:r w:rsidRPr="0036585D">
        <w:lastRenderedPageBreak/>
        <w:t xml:space="preserve">USA, which has had a cocaine problem for more than two decades, as opposed to West and Central Europe, where </w:t>
      </w:r>
      <w:r w:rsidR="00275B80">
        <w:t xml:space="preserve">a significant </w:t>
      </w:r>
      <w:r w:rsidRPr="0036585D">
        <w:t>cocaine problem is largely a phenomenon of the last decade. Therefore, data from countries in the same subregion with similar patterns in drug use were used, wherever possible, for extrapolation purposes.</w:t>
      </w:r>
    </w:p>
    <w:p w:rsidR="00D358AE" w:rsidRPr="0036585D" w:rsidRDefault="00D358AE" w:rsidP="00F16E68">
      <w:r w:rsidRPr="0036585D">
        <w:t xml:space="preserve">Both approaches—the regression model and the ratio model—were used to determine upper and lower uncertainty range estimates calculated at a 90% confidence interval among those aged 15-64 years in the given country. The greater the range, the larger the level of uncertainty around the estimates. The range for each country is reported in the statistical annex, where available. </w:t>
      </w:r>
    </w:p>
    <w:p w:rsidR="00D358AE" w:rsidRPr="00BE69C5" w:rsidRDefault="00D358AE" w:rsidP="00F16E68">
      <w:pPr>
        <w:pStyle w:val="3"/>
      </w:pPr>
      <w:bookmarkStart w:id="40" w:name="_Toc108702207"/>
      <w:r w:rsidRPr="00BE69C5">
        <w:t>Extrapolations based on school surveys</w:t>
      </w:r>
      <w:bookmarkEnd w:id="40"/>
    </w:p>
    <w:p w:rsidR="00D358AE" w:rsidRPr="0036585D" w:rsidRDefault="00D358AE" w:rsidP="00F16E68">
      <w:r w:rsidRPr="0036585D">
        <w:t>Analysis of countries which have conducted both school surveys and national household surveys shows that there is, in general, a positive correlation between the two variables, particularly for cannabis, ATS and cocaine. The correlation, however, is weaker than that of lifetime and annual prevalence or current use and annual prevalence among the general population. But it is stronger than the correlation between opiate use and injecting drug use</w:t>
      </w:r>
      <w:r w:rsidR="004C3678" w:rsidRPr="0036585D">
        <w:t xml:space="preserve"> </w:t>
      </w:r>
      <w:r w:rsidRPr="0036585D">
        <w:t>and between treatment</w:t>
      </w:r>
      <w:r w:rsidR="000849C7" w:rsidRPr="0036585D">
        <w:t xml:space="preserve"> demand</w:t>
      </w:r>
      <w:r w:rsidRPr="0036585D">
        <w:t xml:space="preserve"> and </w:t>
      </w:r>
      <w:r w:rsidR="000849C7" w:rsidRPr="0036585D">
        <w:t xml:space="preserve">extent of </w:t>
      </w:r>
      <w:r w:rsidRPr="0036585D">
        <w:t>drug use</w:t>
      </w:r>
      <w:r w:rsidR="000849C7" w:rsidRPr="0036585D">
        <w:t xml:space="preserve"> in the general population</w:t>
      </w:r>
    </w:p>
    <w:p w:rsidR="00D358AE" w:rsidRPr="0036585D" w:rsidRDefault="00D358AE" w:rsidP="00F16E68">
      <w:r w:rsidRPr="0036585D">
        <w:t>These extrapolations were conducted by using the ratios between school surveys and household surveys of countries in the same region or with similar social structure where applicable. As was the case with extrapolation of results from lifetime prevalence to annual prevalence, two approaches were taken: a) the unweighted average of the ratios between school and household surveys in the comparison countries with an upper and lower uncertainty range estimate calculated at a 90% confidence interval; and b) a regression-based extrapolation, using the relationships between estimates from the other countries to predict the estimate in the country concerned, with an upper and lower uncertainty range estimate calculated at a 90% confidence interval. The final uncertainty range and best estimate are calculated using both models, where applicable.</w:t>
      </w:r>
    </w:p>
    <w:p w:rsidR="00D358AE" w:rsidRPr="00BE69C5" w:rsidRDefault="00D358AE" w:rsidP="00F16E68">
      <w:pPr>
        <w:pStyle w:val="3"/>
      </w:pPr>
      <w:bookmarkStart w:id="41" w:name="_Toc108702208"/>
      <w:r w:rsidRPr="00BE69C5">
        <w:lastRenderedPageBreak/>
        <w:t>Extrapolations based on treatment data</w:t>
      </w:r>
      <w:bookmarkEnd w:id="41"/>
    </w:p>
    <w:p w:rsidR="00D358AE" w:rsidRPr="0036585D" w:rsidRDefault="00D358AE" w:rsidP="00F16E68">
      <w:r w:rsidRPr="0036585D">
        <w:t>For a number of developing countries, the only drug use-related data available was</w:t>
      </w:r>
      <w:r w:rsidR="000849C7" w:rsidRPr="0036585D">
        <w:t xml:space="preserve"> drug users registered or</w:t>
      </w:r>
      <w:r w:rsidRPr="0036585D">
        <w:t xml:space="preserve"> treatment demand. In such cases, other countries in the region with a similar socio-economic structure were identified, which reported annual prevalence and treatment data. A ratio of people treated per 1,000 drug users was calculated for each country. The results from different countries were then averaged and the resulting ratio was used to extrapolate the likely number of drug users from the number of people in treatment. </w:t>
      </w:r>
    </w:p>
    <w:p w:rsidR="00D358AE" w:rsidRPr="009E2C12" w:rsidRDefault="00B16F6D" w:rsidP="009603EF">
      <w:pPr>
        <w:pStyle w:val="2"/>
      </w:pPr>
      <w:bookmarkStart w:id="42" w:name="_Toc517172914"/>
      <w:bookmarkStart w:id="43" w:name="_Toc517173008"/>
      <w:bookmarkStart w:id="44" w:name="_Toc108702209"/>
      <w:r w:rsidRPr="009E2C12">
        <w:t>National, r</w:t>
      </w:r>
      <w:r w:rsidR="0042753E" w:rsidRPr="009E2C12">
        <w:t>egional</w:t>
      </w:r>
      <w:r w:rsidR="00D358AE" w:rsidRPr="009E2C12">
        <w:t xml:space="preserve"> and global estimates of the number of people who use drugs and the health consequences</w:t>
      </w:r>
      <w:bookmarkEnd w:id="42"/>
      <w:bookmarkEnd w:id="43"/>
      <w:r w:rsidR="006260DE" w:rsidRPr="009E2C12">
        <w:t xml:space="preserve"> of drug use</w:t>
      </w:r>
      <w:bookmarkEnd w:id="44"/>
    </w:p>
    <w:p w:rsidR="00657EB6" w:rsidRPr="0085745A" w:rsidRDefault="00D358AE" w:rsidP="00F16E68">
      <w:r w:rsidRPr="0092693B">
        <w:t xml:space="preserve">For this purpose, the estimated prevalence rates of countries were applied to the population aged 15-64, as provided by the United Nations Population Division for the year </w:t>
      </w:r>
      <w:r w:rsidR="004D69FE">
        <w:t>2021</w:t>
      </w:r>
      <w:r w:rsidR="00F371D8">
        <w:t xml:space="preserve"> (using </w:t>
      </w:r>
      <w:r w:rsidR="00593935">
        <w:t xml:space="preserve">WPP </w:t>
      </w:r>
      <w:r w:rsidR="00C151F4">
        <w:t>202</w:t>
      </w:r>
      <w:r w:rsidR="00886F53">
        <w:t>2</w:t>
      </w:r>
      <w:r w:rsidR="00C151F4">
        <w:t xml:space="preserve"> </w:t>
      </w:r>
      <w:r w:rsidR="00F371D8">
        <w:t xml:space="preserve"> revision)</w:t>
      </w:r>
      <w:r w:rsidRPr="0085745A">
        <w:t>.</w:t>
      </w:r>
    </w:p>
    <w:p w:rsidR="00A9308A" w:rsidRPr="0036585D" w:rsidRDefault="00141BD0" w:rsidP="00F16E68">
      <w:r w:rsidRPr="002E1D6F">
        <w:t>In the tables presented in the World Drug Report for regional and global estimates, totals may not add up due to rounding.</w:t>
      </w:r>
      <w:r w:rsidR="00993517" w:rsidRPr="002E1D6F">
        <w:t xml:space="preserve"> </w:t>
      </w:r>
    </w:p>
    <w:p w:rsidR="00D358AE" w:rsidRPr="0036585D" w:rsidRDefault="00D358AE" w:rsidP="00F16E68">
      <w:r w:rsidRPr="0036585D">
        <w:t>Ranges have been produced to reflect the considerable uncertainty that arises when data are either extrapolated or imputed. Ranges are provided for estimated numbers and prevalence rates in the Report. Larger ranges are reported for subregions and regions with less certainty about the likely levels of drug use – in other words, those regions for which fewer direct estimates are available, for a comparatively smaller proportion of the region’s population</w:t>
      </w:r>
      <w:r w:rsidR="00D86CE4" w:rsidRPr="0036585D">
        <w:t>, or for regions for which the existing estimates show a comparatively larger variability</w:t>
      </w:r>
      <w:r w:rsidRPr="0036585D">
        <w:t>.</w:t>
      </w:r>
    </w:p>
    <w:p w:rsidR="00D358AE" w:rsidRPr="0036585D" w:rsidRDefault="00D358AE" w:rsidP="00F16E68">
      <w:r w:rsidRPr="0036585D">
        <w:t xml:space="preserve">Countries with one published estimate (typically those countries with a representative household survey, or an indirect prevalence estimate that did not report ranges) did not have uncertainty estimated. This estimate is reported as the ‘best estimate’. </w:t>
      </w:r>
    </w:p>
    <w:p w:rsidR="00D358AE" w:rsidRPr="0036585D" w:rsidRDefault="00D358AE" w:rsidP="00F16E68">
      <w:r w:rsidRPr="0036585D">
        <w:t xml:space="preserve">To account for populations in countries with no published estimate, the 10th and 90th percentile in the range of direct estimates </w:t>
      </w:r>
      <w:r w:rsidR="00D86CE4" w:rsidRPr="0036585D">
        <w:t xml:space="preserve">within the subregion </w:t>
      </w:r>
      <w:r w:rsidRPr="0036585D">
        <w:t>was used to produce a lower and upper estimate</w:t>
      </w:r>
      <w:r w:rsidR="005811F8" w:rsidRPr="0036585D">
        <w:t xml:space="preserve">. </w:t>
      </w:r>
      <w:r w:rsidR="00D32C59">
        <w:t>Similarly,</w:t>
      </w:r>
      <w:r w:rsidR="00801341">
        <w:t xml:space="preserve"> to the</w:t>
      </w:r>
      <w:r w:rsidR="005811F8" w:rsidRPr="0036585D">
        <w:t xml:space="preserve"> World Drug Report </w:t>
      </w:r>
      <w:r w:rsidR="00BE12C4">
        <w:t>2022</w:t>
      </w:r>
      <w:r w:rsidR="005811F8" w:rsidRPr="0036585D">
        <w:t xml:space="preserve"> </w:t>
      </w:r>
      <w:r w:rsidR="00801341">
        <w:t xml:space="preserve">in this report </w:t>
      </w:r>
      <w:r w:rsidR="005811F8" w:rsidRPr="0036585D">
        <w:t>a weighted percentile procedure was implemented</w:t>
      </w:r>
      <w:r w:rsidR="00D86CE4" w:rsidRPr="0036585D">
        <w:t xml:space="preserve">, </w:t>
      </w:r>
      <w:r w:rsidR="005811F8" w:rsidRPr="0036585D">
        <w:t>that takes into account</w:t>
      </w:r>
      <w:r w:rsidR="00D86CE4" w:rsidRPr="0036585D">
        <w:t xml:space="preserve"> the po</w:t>
      </w:r>
      <w:r w:rsidR="005811F8" w:rsidRPr="0036585D">
        <w:t>pulation in the 15-64 age group in each country.</w:t>
      </w:r>
      <w:r w:rsidR="00DF181D" w:rsidRPr="0036585D">
        <w:t xml:space="preserve"> </w:t>
      </w:r>
      <w:r w:rsidRPr="0036585D">
        <w:t>For example,</w:t>
      </w:r>
      <w:r w:rsidR="00AA113C">
        <w:t xml:space="preserve"> suppose</w:t>
      </w:r>
      <w:r w:rsidRPr="0036585D">
        <w:t xml:space="preserve"> there are </w:t>
      </w:r>
      <w:r w:rsidR="00372AE4" w:rsidRPr="0036585D">
        <w:t>four</w:t>
      </w:r>
      <w:r w:rsidR="00A709AD" w:rsidRPr="0036585D">
        <w:t xml:space="preserve"> </w:t>
      </w:r>
      <w:r w:rsidRPr="0036585D">
        <w:t xml:space="preserve">countries in the </w:t>
      </w:r>
      <w:r w:rsidR="00591E78" w:rsidRPr="0036585D">
        <w:t xml:space="preserve">Near and </w:t>
      </w:r>
      <w:r w:rsidR="00591E78" w:rsidRPr="0036585D">
        <w:lastRenderedPageBreak/>
        <w:t>Middle East / South-West Asia</w:t>
      </w:r>
      <w:r w:rsidRPr="0036585D">
        <w:t xml:space="preserve"> subregion with</w:t>
      </w:r>
      <w:r w:rsidR="00CF6000" w:rsidRPr="0036585D">
        <w:t xml:space="preserve"> sufficiently recent</w:t>
      </w:r>
      <w:r w:rsidRPr="0036585D">
        <w:t xml:space="preserve"> past year prevalence estimates for </w:t>
      </w:r>
      <w:r w:rsidR="00591E78" w:rsidRPr="0036585D">
        <w:t xml:space="preserve">cocaine </w:t>
      </w:r>
      <w:r w:rsidRPr="0036585D">
        <w:t xml:space="preserve">use: </w:t>
      </w:r>
      <w:r w:rsidR="00591E78" w:rsidRPr="0036585D">
        <w:t>Afghanistan</w:t>
      </w:r>
      <w:r w:rsidR="002E2BAD" w:rsidRPr="0036585D">
        <w:t xml:space="preserve"> </w:t>
      </w:r>
      <w:r w:rsidRPr="0036585D">
        <w:t>(</w:t>
      </w:r>
      <w:r w:rsidR="00591E78" w:rsidRPr="0036585D">
        <w:t>0.00</w:t>
      </w:r>
      <w:r w:rsidR="005936C3">
        <w:t xml:space="preserve"> </w:t>
      </w:r>
      <w:bookmarkStart w:id="45" w:name="_Hlk78357390"/>
      <w:r w:rsidR="005936C3">
        <w:t>per cent</w:t>
      </w:r>
      <w:bookmarkEnd w:id="45"/>
      <w:r w:rsidR="00D60007" w:rsidRPr="0036585D">
        <w:t>, a point estimate</w:t>
      </w:r>
      <w:r w:rsidRPr="0036585D">
        <w:t xml:space="preserve">), </w:t>
      </w:r>
      <w:r w:rsidR="00591E78" w:rsidRPr="0036585D">
        <w:t>Iran (Islamic Republic of)</w:t>
      </w:r>
      <w:r w:rsidR="00A709AD" w:rsidRPr="0036585D">
        <w:t xml:space="preserve"> </w:t>
      </w:r>
      <w:r w:rsidRPr="0036585D">
        <w:t>(</w:t>
      </w:r>
      <w:r w:rsidR="00591E78" w:rsidRPr="0036585D">
        <w:t>0.00</w:t>
      </w:r>
      <w:r w:rsidR="005936C3" w:rsidRPr="005936C3">
        <w:t xml:space="preserve"> </w:t>
      </w:r>
      <w:r w:rsidR="005936C3">
        <w:t>per cent</w:t>
      </w:r>
      <w:r w:rsidRPr="0036585D">
        <w:t xml:space="preserve"> – </w:t>
      </w:r>
      <w:r w:rsidR="00591E78" w:rsidRPr="0036585D">
        <w:t>0.</w:t>
      </w:r>
      <w:r w:rsidR="00F62278">
        <w:t>22</w:t>
      </w:r>
      <w:r w:rsidR="005936C3" w:rsidRPr="005936C3">
        <w:t xml:space="preserve"> </w:t>
      </w:r>
      <w:r w:rsidR="005936C3">
        <w:t xml:space="preserve">per cent </w:t>
      </w:r>
      <w:r w:rsidR="009533F9" w:rsidRPr="0036585D">
        <w:t>, best estimate</w:t>
      </w:r>
      <w:r w:rsidR="00CF6000" w:rsidRPr="0036585D">
        <w:t xml:space="preserve"> </w:t>
      </w:r>
      <w:r w:rsidR="00591E78" w:rsidRPr="0036585D">
        <w:t>0.</w:t>
      </w:r>
      <w:r w:rsidR="00101BAD">
        <w:t>1</w:t>
      </w:r>
      <w:r w:rsidR="00591E78" w:rsidRPr="0036585D">
        <w:t>1</w:t>
      </w:r>
      <w:r w:rsidR="005936C3">
        <w:t xml:space="preserve"> per cent</w:t>
      </w:r>
      <w:r w:rsidRPr="0036585D">
        <w:t>)</w:t>
      </w:r>
      <w:r w:rsidR="00A709AD" w:rsidRPr="0036585D">
        <w:t>,</w:t>
      </w:r>
      <w:r w:rsidR="00BF2C93" w:rsidRPr="0036585D">
        <w:t xml:space="preserve"> </w:t>
      </w:r>
      <w:r w:rsidR="00591E78" w:rsidRPr="0036585D">
        <w:t>Israel</w:t>
      </w:r>
      <w:r w:rsidR="00A709AD" w:rsidRPr="0036585D">
        <w:t xml:space="preserve"> </w:t>
      </w:r>
      <w:r w:rsidR="00BF2C93" w:rsidRPr="0036585D">
        <w:t>(</w:t>
      </w:r>
      <w:r w:rsidR="00591E78" w:rsidRPr="0036585D">
        <w:t>0.50</w:t>
      </w:r>
      <w:r w:rsidR="005936C3">
        <w:t xml:space="preserve"> per cent</w:t>
      </w:r>
      <w:r w:rsidR="00A709AD" w:rsidRPr="0036585D">
        <w:t xml:space="preserve"> – </w:t>
      </w:r>
      <w:r w:rsidR="00591E78" w:rsidRPr="0036585D">
        <w:t>0.70</w:t>
      </w:r>
      <w:r w:rsidR="005936C3">
        <w:t xml:space="preserve"> per cent</w:t>
      </w:r>
      <w:r w:rsidR="00A709AD" w:rsidRPr="0036585D">
        <w:t xml:space="preserve">, best estimate </w:t>
      </w:r>
      <w:r w:rsidR="00591E78" w:rsidRPr="0036585D">
        <w:t>0.60</w:t>
      </w:r>
      <w:r w:rsidR="005936C3">
        <w:t xml:space="preserve"> per cent</w:t>
      </w:r>
      <w:r w:rsidR="00BF2C93" w:rsidRPr="0036585D">
        <w:t>)</w:t>
      </w:r>
      <w:r w:rsidR="00591E78" w:rsidRPr="0036585D">
        <w:t xml:space="preserve"> and</w:t>
      </w:r>
      <w:r w:rsidR="00A709AD" w:rsidRPr="0036585D">
        <w:t xml:space="preserve"> </w:t>
      </w:r>
      <w:r w:rsidR="00591E78" w:rsidRPr="0036585D">
        <w:t>Pakistan</w:t>
      </w:r>
      <w:r w:rsidR="00A709AD" w:rsidRPr="0036585D">
        <w:t xml:space="preserve"> (</w:t>
      </w:r>
      <w:r w:rsidR="00591E78" w:rsidRPr="0036585D">
        <w:t>0.00</w:t>
      </w:r>
      <w:r w:rsidR="005936C3" w:rsidRPr="005936C3">
        <w:t xml:space="preserve"> </w:t>
      </w:r>
      <w:r w:rsidR="005936C3">
        <w:t xml:space="preserve">per cent </w:t>
      </w:r>
      <w:r w:rsidR="00A709AD" w:rsidRPr="0036585D">
        <w:t xml:space="preserve"> – </w:t>
      </w:r>
      <w:r w:rsidR="00591E78" w:rsidRPr="0036585D">
        <w:t>0.04</w:t>
      </w:r>
      <w:r w:rsidR="005936C3" w:rsidRPr="005936C3">
        <w:t xml:space="preserve"> </w:t>
      </w:r>
      <w:r w:rsidR="005936C3">
        <w:t>per cent</w:t>
      </w:r>
      <w:r w:rsidR="00A709AD" w:rsidRPr="0036585D">
        <w:t xml:space="preserve">, best estimate </w:t>
      </w:r>
      <w:r w:rsidR="00591E78" w:rsidRPr="0036585D">
        <w:t>0.01</w:t>
      </w:r>
      <w:r w:rsidR="005936C3" w:rsidRPr="005936C3">
        <w:t xml:space="preserve"> </w:t>
      </w:r>
      <w:r w:rsidR="005936C3">
        <w:t>per cent</w:t>
      </w:r>
      <w:r w:rsidR="00591E78" w:rsidRPr="0036585D">
        <w:t>)</w:t>
      </w:r>
      <w:r w:rsidRPr="0036585D">
        <w:t>.</w:t>
      </w:r>
      <w:r w:rsidR="003D56A4" w:rsidRPr="0036585D">
        <w:t xml:space="preserve"> In order to obtain a best estimate for the subregion, t</w:t>
      </w:r>
      <w:r w:rsidRPr="0036585D">
        <w:t>he</w:t>
      </w:r>
      <w:r w:rsidR="00CF6000" w:rsidRPr="0036585D">
        <w:t xml:space="preserve"> weighted average of the</w:t>
      </w:r>
      <w:r w:rsidR="009533F9" w:rsidRPr="0036585D">
        <w:t xml:space="preserve"> best estimates</w:t>
      </w:r>
      <w:r w:rsidR="00CF6000" w:rsidRPr="0036585D">
        <w:t xml:space="preserve"> </w:t>
      </w:r>
      <w:r w:rsidR="009533F9" w:rsidRPr="0036585D">
        <w:t xml:space="preserve">for </w:t>
      </w:r>
      <w:r w:rsidR="00CF6000" w:rsidRPr="0036585D">
        <w:t xml:space="preserve">prevalence over these </w:t>
      </w:r>
      <w:r w:rsidR="001835F3">
        <w:t>four</w:t>
      </w:r>
      <w:r w:rsidR="001835F3" w:rsidRPr="0036585D">
        <w:t xml:space="preserve"> </w:t>
      </w:r>
      <w:r w:rsidR="00CF6000" w:rsidRPr="0036585D">
        <w:t>countries is applied</w:t>
      </w:r>
      <w:r w:rsidRPr="0036585D">
        <w:t xml:space="preserve"> to the population of the remaining countries</w:t>
      </w:r>
      <w:r w:rsidR="00CF6000" w:rsidRPr="0036585D">
        <w:t xml:space="preserve"> in the subregion</w:t>
      </w:r>
      <w:r w:rsidRPr="0036585D">
        <w:t xml:space="preserve"> without prevalence data. </w:t>
      </w:r>
      <w:r w:rsidR="00DF181D" w:rsidRPr="0036585D">
        <w:t>To</w:t>
      </w:r>
      <w:r w:rsidR="003D56A4" w:rsidRPr="0036585D">
        <w:t xml:space="preserve"> obtain a range for the subregion, t</w:t>
      </w:r>
      <w:r w:rsidRPr="0036585D">
        <w:t xml:space="preserve">he </w:t>
      </w:r>
      <w:r w:rsidR="00A709AD" w:rsidRPr="0036585D">
        <w:t xml:space="preserve">weighted </w:t>
      </w:r>
      <w:r w:rsidRPr="0036585D">
        <w:t>10th percentile of the lower bound</w:t>
      </w:r>
      <w:r w:rsidR="00E135DE" w:rsidRPr="0036585D">
        <w:t>s</w:t>
      </w:r>
      <w:r w:rsidRPr="0036585D">
        <w:t xml:space="preserve"> of the uncertainty range</w:t>
      </w:r>
      <w:r w:rsidR="00E135DE" w:rsidRPr="0036585D">
        <w:t>s</w:t>
      </w:r>
      <w:r w:rsidRPr="0036585D">
        <w:t xml:space="preserve"> (</w:t>
      </w:r>
      <w:r w:rsidR="00591E78" w:rsidRPr="0036585D">
        <w:t>0.00</w:t>
      </w:r>
      <w:r w:rsidR="00621AEC">
        <w:t xml:space="preserve"> per cent</w:t>
      </w:r>
      <w:r w:rsidR="00591E78" w:rsidRPr="0036585D">
        <w:t>, 0.00</w:t>
      </w:r>
      <w:r w:rsidR="00621AEC">
        <w:t xml:space="preserve"> per cent</w:t>
      </w:r>
      <w:r w:rsidR="00591E78" w:rsidRPr="0036585D">
        <w:t>, 0.50</w:t>
      </w:r>
      <w:r w:rsidR="00621AEC">
        <w:t xml:space="preserve"> per cent</w:t>
      </w:r>
      <w:r w:rsidR="00591E78" w:rsidRPr="0036585D">
        <w:t xml:space="preserve"> and 0.00</w:t>
      </w:r>
      <w:r w:rsidR="00621AEC">
        <w:t xml:space="preserve"> per cent</w:t>
      </w:r>
      <w:r w:rsidRPr="0036585D">
        <w:t>)</w:t>
      </w:r>
      <w:r w:rsidR="003D56A4" w:rsidRPr="0036585D">
        <w:t>, namely</w:t>
      </w:r>
      <w:r w:rsidRPr="0036585D">
        <w:t xml:space="preserve"> </w:t>
      </w:r>
      <w:r w:rsidR="00591E78" w:rsidRPr="0036585D">
        <w:t>0.00</w:t>
      </w:r>
      <w:r w:rsidR="007D135C">
        <w:t>%</w:t>
      </w:r>
      <w:r w:rsidR="003D56A4" w:rsidRPr="0036585D">
        <w:t>,</w:t>
      </w:r>
      <w:r w:rsidRPr="0036585D">
        <w:t xml:space="preserve"> and the 90th percentile of the upper bound</w:t>
      </w:r>
      <w:r w:rsidR="00E135DE" w:rsidRPr="0036585D">
        <w:t>s</w:t>
      </w:r>
      <w:r w:rsidRPr="0036585D">
        <w:t xml:space="preserve"> (</w:t>
      </w:r>
      <w:r w:rsidR="00591E78" w:rsidRPr="0036585D">
        <w:t>0.00</w:t>
      </w:r>
      <w:r w:rsidR="00621AEC">
        <w:t xml:space="preserve"> per cent</w:t>
      </w:r>
      <w:r w:rsidR="00591E78" w:rsidRPr="0036585D">
        <w:t>, 0.</w:t>
      </w:r>
      <w:r w:rsidR="007D135C">
        <w:t>22</w:t>
      </w:r>
      <w:r w:rsidR="00621AEC">
        <w:t xml:space="preserve"> per cent</w:t>
      </w:r>
      <w:r w:rsidR="00591E78" w:rsidRPr="0036585D">
        <w:t>, 0.70</w:t>
      </w:r>
      <w:r w:rsidR="00621AEC">
        <w:t xml:space="preserve"> per cent</w:t>
      </w:r>
      <w:r w:rsidR="00591E78" w:rsidRPr="0036585D">
        <w:t xml:space="preserve"> and 0.04</w:t>
      </w:r>
      <w:r w:rsidR="00621AEC">
        <w:t xml:space="preserve"> per cent</w:t>
      </w:r>
      <w:r w:rsidRPr="0036585D">
        <w:t>)</w:t>
      </w:r>
      <w:r w:rsidR="003E01B0" w:rsidRPr="0036585D">
        <w:t xml:space="preserve">, namely </w:t>
      </w:r>
      <w:r w:rsidR="00591E78" w:rsidRPr="0036585D">
        <w:t>0.</w:t>
      </w:r>
      <w:r w:rsidR="007D135C">
        <w:t>21</w:t>
      </w:r>
      <w:r w:rsidR="00621AEC">
        <w:t xml:space="preserve"> per cent</w:t>
      </w:r>
      <w:r w:rsidR="003E01B0" w:rsidRPr="0036585D">
        <w:t>, were considered</w:t>
      </w:r>
      <w:r w:rsidRPr="0036585D">
        <w:t xml:space="preserve">. </w:t>
      </w:r>
      <w:r w:rsidR="00A709AD" w:rsidRPr="0036585D">
        <w:t>It is important to note that</w:t>
      </w:r>
      <w:r w:rsidR="008412AA" w:rsidRPr="0036585D">
        <w:t>,</w:t>
      </w:r>
      <w:r w:rsidR="00A709AD" w:rsidRPr="0036585D">
        <w:t xml:space="preserve"> </w:t>
      </w:r>
      <w:r w:rsidR="008412AA" w:rsidRPr="0036585D">
        <w:t xml:space="preserve">as </w:t>
      </w:r>
      <w:r w:rsidR="00591E78" w:rsidRPr="0036585D">
        <w:t>Israel</w:t>
      </w:r>
      <w:r w:rsidR="008412AA" w:rsidRPr="0036585D">
        <w:t xml:space="preserve"> accounts for </w:t>
      </w:r>
      <w:r w:rsidR="00591E78" w:rsidRPr="0036585D">
        <w:t>only about 3</w:t>
      </w:r>
      <w:r w:rsidR="008412AA" w:rsidRPr="0036585D">
        <w:t xml:space="preserve"> per cent of the population within the 15-64 age group in these </w:t>
      </w:r>
      <w:r w:rsidR="00591E78" w:rsidRPr="0036585D">
        <w:t>four</w:t>
      </w:r>
      <w:r w:rsidR="008412AA" w:rsidRPr="0036585D">
        <w:t xml:space="preserve"> countries, the resulting weighted percentiles are </w:t>
      </w:r>
      <w:r w:rsidR="00591E78" w:rsidRPr="0036585D">
        <w:t xml:space="preserve">not heavily </w:t>
      </w:r>
      <w:r w:rsidR="008412AA" w:rsidRPr="0036585D">
        <w:t xml:space="preserve">influenced by the </w:t>
      </w:r>
      <w:r w:rsidR="00591E78" w:rsidRPr="0036585D">
        <w:t>higher prevalence present in this country</w:t>
      </w:r>
      <w:r w:rsidR="008412AA" w:rsidRPr="0036585D">
        <w:t>.</w:t>
      </w:r>
      <w:r w:rsidR="00A709AD" w:rsidRPr="0036585D">
        <w:t xml:space="preserve"> </w:t>
      </w:r>
      <w:r w:rsidRPr="0036585D">
        <w:t xml:space="preserve">The </w:t>
      </w:r>
      <w:r w:rsidR="00E135DE" w:rsidRPr="0036585D">
        <w:t xml:space="preserve">percentages of </w:t>
      </w:r>
      <w:r w:rsidR="00591E78" w:rsidRPr="0036585D">
        <w:t>0.00</w:t>
      </w:r>
      <w:r w:rsidR="00884029">
        <w:t xml:space="preserve"> </w:t>
      </w:r>
      <w:r w:rsidR="00E135DE" w:rsidRPr="0036585D">
        <w:t xml:space="preserve">and </w:t>
      </w:r>
      <w:r w:rsidR="00591E78" w:rsidRPr="0036585D">
        <w:t>0.</w:t>
      </w:r>
      <w:r w:rsidR="007D135C">
        <w:t>21</w:t>
      </w:r>
      <w:r w:rsidRPr="0036585D">
        <w:t xml:space="preserve"> </w:t>
      </w:r>
      <w:r w:rsidR="003E01B0" w:rsidRPr="0036585D">
        <w:t>we</w:t>
      </w:r>
      <w:r w:rsidRPr="0036585D">
        <w:t>re applied to the population of the remaining countries without prevalence data</w:t>
      </w:r>
      <w:r w:rsidR="003E01B0" w:rsidRPr="0036585D">
        <w:t xml:space="preserve">, in combination with the national level data for </w:t>
      </w:r>
      <w:r w:rsidR="00591E78" w:rsidRPr="0036585D">
        <w:t>Afghanistan, Iran (Islam</w:t>
      </w:r>
      <w:r w:rsidR="002E2BAD" w:rsidRPr="0036585D">
        <w:t>ic Republic of), Israel and Pak</w:t>
      </w:r>
      <w:r w:rsidR="00591E78" w:rsidRPr="0036585D">
        <w:t>i</w:t>
      </w:r>
      <w:r w:rsidR="002E2BAD" w:rsidRPr="0036585D">
        <w:t>s</w:t>
      </w:r>
      <w:r w:rsidR="00591E78" w:rsidRPr="0036585D">
        <w:t>tan</w:t>
      </w:r>
      <w:r w:rsidR="003E01B0" w:rsidRPr="0036585D">
        <w:t>,</w:t>
      </w:r>
      <w:r w:rsidRPr="0036585D">
        <w:t xml:space="preserve"> </w:t>
      </w:r>
      <w:r w:rsidR="005055DB" w:rsidRPr="0036585D">
        <w:t xml:space="preserve">to derive </w:t>
      </w:r>
      <w:r w:rsidRPr="0036585D">
        <w:t>subregional lower and upper estimate</w:t>
      </w:r>
      <w:r w:rsidR="003E01B0" w:rsidRPr="0036585D">
        <w:t>s</w:t>
      </w:r>
      <w:r w:rsidR="005055DB" w:rsidRPr="0036585D">
        <w:t xml:space="preserve"> of</w:t>
      </w:r>
      <w:r w:rsidR="00F1113F" w:rsidRPr="0036585D">
        <w:t xml:space="preserve"> </w:t>
      </w:r>
      <w:r w:rsidR="00591E78" w:rsidRPr="0036585D">
        <w:t>0.01</w:t>
      </w:r>
      <w:r w:rsidR="00E135DE" w:rsidRPr="0036585D">
        <w:t xml:space="preserve"> </w:t>
      </w:r>
      <w:r w:rsidR="00F1113F" w:rsidRPr="0036585D">
        <w:t xml:space="preserve">and </w:t>
      </w:r>
      <w:r w:rsidR="00591E78" w:rsidRPr="0036585D">
        <w:t>0.</w:t>
      </w:r>
      <w:r w:rsidR="007D135C">
        <w:t>13</w:t>
      </w:r>
      <w:r w:rsidR="00F1113F" w:rsidRPr="0036585D">
        <w:t xml:space="preserve"> per cent respectively</w:t>
      </w:r>
      <w:r w:rsidR="000A60F9" w:rsidRPr="0036585D">
        <w:t>.</w:t>
      </w:r>
    </w:p>
    <w:p w:rsidR="00635E66" w:rsidRPr="0036585D" w:rsidRDefault="00D358AE" w:rsidP="00F16E68">
      <w:r w:rsidRPr="0036585D">
        <w:t xml:space="preserve">In some cases, not all </w:t>
      </w:r>
      <w:r w:rsidR="00DF181D" w:rsidRPr="0036585D">
        <w:t xml:space="preserve">the </w:t>
      </w:r>
      <w:r w:rsidR="00921A3A">
        <w:t>sub</w:t>
      </w:r>
      <w:r w:rsidR="00DF181D" w:rsidRPr="0036585D">
        <w:t>regions in a region</w:t>
      </w:r>
      <w:r w:rsidRPr="0036585D">
        <w:t xml:space="preserve"> had </w:t>
      </w:r>
      <w:r w:rsidR="0087233E" w:rsidRPr="0036585D">
        <w:t>sufficient country-level data to allow the above calculations.</w:t>
      </w:r>
      <w:r w:rsidRPr="0036585D">
        <w:t xml:space="preserve"> </w:t>
      </w:r>
      <w:r w:rsidR="001D5E2D" w:rsidRPr="0036585D">
        <w:t xml:space="preserve">In such cases, </w:t>
      </w:r>
      <w:r w:rsidR="0087233E" w:rsidRPr="0036585D">
        <w:t xml:space="preserve">for the purposes of arriving at estimates at regional level, lower and upper estimates at the sub-regional level were derived based on the </w:t>
      </w:r>
      <w:r w:rsidR="00DF181D" w:rsidRPr="0036585D">
        <w:t>data points</w:t>
      </w:r>
      <w:r w:rsidR="0087233E" w:rsidRPr="0036585D">
        <w:t xml:space="preserve"> from the entire region, specifically by considering the </w:t>
      </w:r>
      <w:r w:rsidR="00372AE4" w:rsidRPr="0036585D">
        <w:t xml:space="preserve">weighted </w:t>
      </w:r>
      <w:r w:rsidRPr="0036585D">
        <w:t>10th and 90th percentile</w:t>
      </w:r>
      <w:r w:rsidR="0087233E" w:rsidRPr="0036585D">
        <w:t xml:space="preserve">s respectively of the lower and upper country-level estimates. </w:t>
      </w:r>
      <w:r w:rsidRPr="0036585D">
        <w:t>These results were then combined with th</w:t>
      </w:r>
      <w:r w:rsidR="00635E66" w:rsidRPr="0036585D">
        <w:t xml:space="preserve">e </w:t>
      </w:r>
      <w:r w:rsidR="00DF181D" w:rsidRPr="0036585D">
        <w:t>other subregions</w:t>
      </w:r>
      <w:r w:rsidRPr="0036585D">
        <w:t xml:space="preserve"> </w:t>
      </w:r>
      <w:r w:rsidR="00635E66" w:rsidRPr="0036585D">
        <w:t xml:space="preserve">to arrive at upper and lower estimates, and hence best estimates, at </w:t>
      </w:r>
      <w:r w:rsidR="00D44B40" w:rsidRPr="0036585D">
        <w:t>regional level.</w:t>
      </w:r>
    </w:p>
    <w:p w:rsidR="00D358AE" w:rsidRPr="0036585D" w:rsidRDefault="00D358AE" w:rsidP="00F16E68">
      <w:r w:rsidRPr="0036585D">
        <w:t>This produces conservative (wide) intervals for subregions where there is geographic variation and/or variance in existing country-level estimates; but it also reduces the likelihood that skewed estimates will have a dramatic effect on regional and global figures</w:t>
      </w:r>
      <w:r w:rsidR="00372AE4" w:rsidRPr="0036585D">
        <w:t xml:space="preserve">, as the weighted percentiles procedure will give a smaller weight to relatively small countries, which tend to be more likely to present an extreme prevalence. </w:t>
      </w:r>
    </w:p>
    <w:p w:rsidR="00765DAF" w:rsidRPr="0036585D" w:rsidRDefault="00801341" w:rsidP="00F16E68">
      <w:r>
        <w:lastRenderedPageBreak/>
        <w:t>As in the</w:t>
      </w:r>
      <w:r w:rsidR="00765DAF" w:rsidRPr="0036585D">
        <w:t xml:space="preserve"> World Drug Report </w:t>
      </w:r>
      <w:r w:rsidR="007F458D">
        <w:t>20</w:t>
      </w:r>
      <w:r w:rsidR="00B8293E">
        <w:t>2</w:t>
      </w:r>
      <w:r w:rsidR="00E25942">
        <w:t>2</w:t>
      </w:r>
      <w:r w:rsidR="00765DAF" w:rsidRPr="0036585D">
        <w:t xml:space="preserve"> </w:t>
      </w:r>
      <w:r>
        <w:t xml:space="preserve">in this report </w:t>
      </w:r>
      <w:r w:rsidR="00765DAF" w:rsidRPr="0036585D">
        <w:t xml:space="preserve">the region of Oceania was divided into four subregions (Australia and New Zealand, Melanesia, Micronesia, and Polynesia), while in previous years </w:t>
      </w:r>
      <w:r w:rsidR="007F458D">
        <w:t xml:space="preserve">prior to 2018 </w:t>
      </w:r>
      <w:r w:rsidR="00765DAF" w:rsidRPr="0036585D">
        <w:t xml:space="preserve">no subregional estimates of annual prevalence among the population aged 15-64 were available. </w:t>
      </w:r>
      <w:r w:rsidR="00DF181D" w:rsidRPr="0036585D">
        <w:t>Given that</w:t>
      </w:r>
      <w:r w:rsidR="00765DAF" w:rsidRPr="0036585D">
        <w:t xml:space="preserve"> the data for Melanesia, Micronesia and Polynesia is scarce, in order to avoid imputing these regions with data from only Australia and New Zealand</w:t>
      </w:r>
      <w:r w:rsidR="003B168E">
        <w:t xml:space="preserve"> (which are </w:t>
      </w:r>
      <w:r w:rsidR="00382F42">
        <w:t xml:space="preserve">highly developed and thus </w:t>
      </w:r>
      <w:r w:rsidR="003B168E">
        <w:t>very different from most other countries in Oceania)</w:t>
      </w:r>
      <w:r w:rsidR="00765DAF" w:rsidRPr="0036585D">
        <w:t xml:space="preserve">, the closest five countries to these regions with available data were considered in the calculations, when necessary. </w:t>
      </w:r>
      <w:r w:rsidR="0095347C" w:rsidRPr="0036585D">
        <w:t xml:space="preserve">This was the case for the calculations of the prevalence of cocaine, “ecstasy”, opiates and opioids. </w:t>
      </w:r>
    </w:p>
    <w:p w:rsidR="00875D62" w:rsidRPr="00BE69C5" w:rsidRDefault="00D358AE" w:rsidP="009603EF">
      <w:pPr>
        <w:pStyle w:val="3"/>
      </w:pPr>
      <w:bookmarkStart w:id="46" w:name="_Toc517172915"/>
      <w:bookmarkStart w:id="47" w:name="_Toc517173009"/>
      <w:bookmarkStart w:id="48" w:name="_Toc108702210"/>
      <w:r w:rsidRPr="00BE69C5">
        <w:t xml:space="preserve">Estimates of the total number of people </w:t>
      </w:r>
      <w:r w:rsidR="00614A8C">
        <w:t xml:space="preserve">aged 15-64 </w:t>
      </w:r>
      <w:r w:rsidRPr="00BE69C5">
        <w:t>who used illicit drugs at least once in the past year</w:t>
      </w:r>
      <w:bookmarkEnd w:id="46"/>
      <w:bookmarkEnd w:id="47"/>
      <w:bookmarkEnd w:id="48"/>
    </w:p>
    <w:p w:rsidR="00D358AE" w:rsidRPr="0085745A" w:rsidRDefault="00D358AE" w:rsidP="009603EF">
      <w:r w:rsidRPr="0092693B">
        <w:t xml:space="preserve">This year’s Report used the same approach as </w:t>
      </w:r>
      <w:r w:rsidR="0001413C" w:rsidRPr="0092693B">
        <w:t xml:space="preserve">in the previous </w:t>
      </w:r>
      <w:r w:rsidRPr="0092693B">
        <w:t>year</w:t>
      </w:r>
      <w:r w:rsidR="0001413C" w:rsidRPr="0092693B">
        <w:t>s</w:t>
      </w:r>
      <w:r w:rsidRPr="0092693B">
        <w:t>. Two ranges we</w:t>
      </w:r>
      <w:r w:rsidRPr="0085745A">
        <w:t xml:space="preserve">re produced, and the lowest and highest estimate of each approach </w:t>
      </w:r>
      <w:r w:rsidR="00622DF5">
        <w:t xml:space="preserve">was </w:t>
      </w:r>
      <w:r w:rsidRPr="0085745A">
        <w:t>taken to estimate the lower and upper ranges, respectively, of the total drug using population. This estimate is obviously tentative given the limited number of countries upon which the data informing the two approaches were based. The two approaches were as follows:</w:t>
      </w:r>
    </w:p>
    <w:p w:rsidR="00D358AE" w:rsidRPr="0036585D" w:rsidRDefault="00D358AE" w:rsidP="00F16E68">
      <w:r w:rsidRPr="002E1D6F">
        <w:t>Approach 1</w:t>
      </w:r>
      <w:r w:rsidR="0087412D" w:rsidRPr="002E1D6F">
        <w:t>:</w:t>
      </w:r>
    </w:p>
    <w:p w:rsidR="00D358AE" w:rsidRPr="0036585D" w:rsidRDefault="00D358AE" w:rsidP="00F16E68">
      <w:r w:rsidRPr="0036585D">
        <w:t xml:space="preserve">The global estimates of the number of people using each of the five drug groups in the past year were added up. Taking into account that people use more than one drug type and that these five populations overlap, the total was adjusted downward. The size of this adjustment was made based upon household surveys conducted </w:t>
      </w:r>
      <w:r w:rsidRPr="00B46353">
        <w:t xml:space="preserve">in </w:t>
      </w:r>
      <w:r w:rsidR="00B8364B" w:rsidRPr="00B46353">
        <w:t>2</w:t>
      </w:r>
      <w:r w:rsidR="003F7008" w:rsidRPr="00B46353">
        <w:t>9</w:t>
      </w:r>
      <w:r w:rsidR="00B8364B" w:rsidRPr="0052732D">
        <w:t xml:space="preserve"> </w:t>
      </w:r>
      <w:r w:rsidR="00FA75AB" w:rsidRPr="003F7008">
        <w:t>countries</w:t>
      </w:r>
      <w:r w:rsidR="00FA75AB" w:rsidRPr="0036585D">
        <w:t xml:space="preserve"> globally including countries from North America (</w:t>
      </w:r>
      <w:r w:rsidR="006B72BF" w:rsidRPr="0036585D">
        <w:t xml:space="preserve">Canada, </w:t>
      </w:r>
      <w:r w:rsidR="00D1692B" w:rsidRPr="0036585D">
        <w:t xml:space="preserve">Mexico </w:t>
      </w:r>
      <w:r w:rsidR="00FA75AB" w:rsidRPr="0036585D">
        <w:t>and the United States</w:t>
      </w:r>
      <w:r w:rsidR="00B82903">
        <w:t xml:space="preserve"> of America)</w:t>
      </w:r>
      <w:r w:rsidR="00FA75AB" w:rsidRPr="0036585D">
        <w:t>, Europe (</w:t>
      </w:r>
      <w:r w:rsidR="001B0176" w:rsidRPr="0036585D">
        <w:t xml:space="preserve">including Italy, </w:t>
      </w:r>
      <w:r w:rsidR="0046259A" w:rsidRPr="0036585D">
        <w:t>Germany, Spain and England and Wales), Latin America (</w:t>
      </w:r>
      <w:r w:rsidR="00C11137" w:rsidRPr="0036585D">
        <w:t xml:space="preserve">Argentina, </w:t>
      </w:r>
      <w:r w:rsidR="0046259A" w:rsidRPr="0036585D">
        <w:t>Brazil, Plurinational State of Bolivia, Chile,</w:t>
      </w:r>
      <w:r w:rsidR="003F7008">
        <w:t xml:space="preserve"> Costa Rica, El Salvador </w:t>
      </w:r>
      <w:r w:rsidR="0046259A" w:rsidRPr="0036585D">
        <w:t>and Uruguay)</w:t>
      </w:r>
      <w:r w:rsidR="00C11137" w:rsidRPr="0036585D">
        <w:t xml:space="preserve">, </w:t>
      </w:r>
      <w:r w:rsidR="0046259A" w:rsidRPr="0036585D">
        <w:t>Asia and the Pacific (</w:t>
      </w:r>
      <w:r w:rsidR="00B8364B" w:rsidRPr="0036585D">
        <w:t xml:space="preserve">Israel, </w:t>
      </w:r>
      <w:r w:rsidR="0046259A" w:rsidRPr="0036585D">
        <w:t>Indonesia, Philippines,</w:t>
      </w:r>
      <w:r w:rsidR="003F7008">
        <w:t xml:space="preserve"> Thailand</w:t>
      </w:r>
      <w:r w:rsidR="0046259A" w:rsidRPr="0036585D">
        <w:t xml:space="preserve"> and Australia)</w:t>
      </w:r>
      <w:r w:rsidR="00B8364B" w:rsidRPr="0036585D">
        <w:t xml:space="preserve"> and Africa (Algeria</w:t>
      </w:r>
      <w:r w:rsidR="007D135C">
        <w:t>, Nigeria</w:t>
      </w:r>
      <w:r w:rsidR="00B8364B" w:rsidRPr="0036585D">
        <w:t>)</w:t>
      </w:r>
      <w:r w:rsidRPr="0036585D">
        <w:t xml:space="preserve">, which assessed all five drug types, and reported an estimate of total illicit drug use. Across these studies, the extent to which adding each population of users overestimated the total population was </w:t>
      </w:r>
      <w:r w:rsidR="009933A8" w:rsidRPr="0036585D">
        <w:t>a median</w:t>
      </w:r>
      <w:r w:rsidRPr="0036585D">
        <w:t xml:space="preserve"> </w:t>
      </w:r>
      <w:r w:rsidR="00E31748" w:rsidRPr="0036585D">
        <w:t xml:space="preserve">factor </w:t>
      </w:r>
      <w:r w:rsidRPr="0036585D">
        <w:t>of 1</w:t>
      </w:r>
      <w:r w:rsidR="00E31748" w:rsidRPr="0036585D">
        <w:t>.1</w:t>
      </w:r>
      <w:r w:rsidR="003016BA">
        <w:t>6</w:t>
      </w:r>
      <w:r w:rsidRPr="0036585D">
        <w:t>. The summed total was therefore divided by 1</w:t>
      </w:r>
      <w:r w:rsidR="00E31748" w:rsidRPr="0036585D">
        <w:t>.</w:t>
      </w:r>
      <w:r w:rsidR="00B8364B" w:rsidRPr="0036585D">
        <w:t>1</w:t>
      </w:r>
      <w:r w:rsidR="003016BA">
        <w:t>6</w:t>
      </w:r>
      <w:r w:rsidR="007B2592">
        <w:t xml:space="preserve"> to arrive at an estimate of the global number of drug users.</w:t>
      </w:r>
    </w:p>
    <w:p w:rsidR="00D358AE" w:rsidRPr="0036585D" w:rsidRDefault="00D358AE" w:rsidP="009603EF">
      <w:r w:rsidRPr="0036585D">
        <w:lastRenderedPageBreak/>
        <w:t>Approach 2</w:t>
      </w:r>
      <w:r w:rsidR="0087412D" w:rsidRPr="0036585D">
        <w:t>:</w:t>
      </w:r>
    </w:p>
    <w:p w:rsidR="00E31748" w:rsidRPr="0036585D" w:rsidRDefault="00D358AE" w:rsidP="00F16E68">
      <w:r w:rsidRPr="0036585D">
        <w:t xml:space="preserve">This approach was based on the average proportion of the total drug using population that </w:t>
      </w:r>
      <w:r w:rsidR="007B2592">
        <w:t>used cannabis as a strong positive correlation between cannabis use and overall drug could be identified.</w:t>
      </w:r>
      <w:r w:rsidRPr="0036585D">
        <w:t xml:space="preserve"> The average proportion was obtained from household surveys conducted in the same countries as for Approach 1</w:t>
      </w:r>
      <w:r w:rsidR="00DF181D" w:rsidRPr="0036585D">
        <w:t>.</w:t>
      </w:r>
      <w:r w:rsidRPr="0036585D">
        <w:t xml:space="preserve"> Across all of these studies, the </w:t>
      </w:r>
      <w:r w:rsidR="009933A8" w:rsidRPr="0036585D">
        <w:t>median</w:t>
      </w:r>
      <w:r w:rsidRPr="0036585D">
        <w:t xml:space="preserve"> proportion of</w:t>
      </w:r>
      <w:r w:rsidR="00714885">
        <w:t xml:space="preserve"> cannabis users to</w:t>
      </w:r>
      <w:r w:rsidRPr="0036585D">
        <w:t xml:space="preserve"> total drug users was </w:t>
      </w:r>
      <w:r w:rsidR="002A75E0" w:rsidRPr="0036585D">
        <w:t>8</w:t>
      </w:r>
      <w:r w:rsidR="00C00AB4">
        <w:t>0</w:t>
      </w:r>
      <w:r w:rsidR="007B2592">
        <w:t>.</w:t>
      </w:r>
      <w:r w:rsidR="00C00AB4">
        <w:t>9</w:t>
      </w:r>
      <w:r w:rsidR="002A75E0" w:rsidRPr="0036585D">
        <w:t xml:space="preserve"> per cent</w:t>
      </w:r>
      <w:r w:rsidRPr="0036585D">
        <w:t>. The range of cannabis users at the global level was therefore divided by 0.</w:t>
      </w:r>
      <w:r w:rsidR="00C00AB4">
        <w:t>809</w:t>
      </w:r>
      <w:r w:rsidR="007B2592">
        <w:t xml:space="preserve"> to arrive at an estimate of the global number of drug users.</w:t>
      </w:r>
    </w:p>
    <w:p w:rsidR="00E31748" w:rsidRPr="0036585D" w:rsidRDefault="00E31748" w:rsidP="00F16E68">
      <w:r w:rsidRPr="0036585D">
        <w:t xml:space="preserve">The </w:t>
      </w:r>
      <w:r w:rsidR="00785199" w:rsidRPr="0036585D">
        <w:t xml:space="preserve">global </w:t>
      </w:r>
      <w:r w:rsidRPr="0036585D">
        <w:t>lower estimate was the lower of the two values</w:t>
      </w:r>
      <w:r w:rsidR="00785199" w:rsidRPr="0036585D">
        <w:t xml:space="preserve"> obtained from the two approaches, while the upper estimates was the upper value derived from the two approaches described.</w:t>
      </w:r>
      <w:r w:rsidR="005C49B1">
        <w:t xml:space="preserve"> The average of the two values was reported as best estimate. </w:t>
      </w:r>
    </w:p>
    <w:p w:rsidR="00D358AE" w:rsidRPr="0036585D" w:rsidRDefault="00D358AE" w:rsidP="009603EF">
      <w:pPr>
        <w:pStyle w:val="3"/>
      </w:pPr>
      <w:bookmarkStart w:id="49" w:name="_Toc108702211"/>
      <w:bookmarkStart w:id="50" w:name="_Toc517172916"/>
      <w:bookmarkStart w:id="51" w:name="_Toc517173010"/>
      <w:r w:rsidRPr="0036585D">
        <w:t xml:space="preserve">Estimates of the number of </w:t>
      </w:r>
      <w:bookmarkStart w:id="52" w:name="_Hlk78358323"/>
      <w:r w:rsidR="005C49B1">
        <w:t>people suffering from drug use disorders</w:t>
      </w:r>
      <w:bookmarkEnd w:id="49"/>
      <w:r w:rsidR="005C49B1">
        <w:t xml:space="preserve"> </w:t>
      </w:r>
      <w:bookmarkEnd w:id="50"/>
      <w:bookmarkEnd w:id="51"/>
      <w:bookmarkEnd w:id="52"/>
    </w:p>
    <w:p w:rsidR="00D358AE" w:rsidRPr="002E1D6F" w:rsidRDefault="00D358AE" w:rsidP="00F16E68">
      <w:r w:rsidRPr="0092693B">
        <w:t>It is useful to make estimates of the number of drug users whose use is particularly problematic</w:t>
      </w:r>
      <w:r w:rsidR="002A75E0" w:rsidRPr="0092693B">
        <w:t xml:space="preserve">, as a proxy to those who could be diagnosed with drug use </w:t>
      </w:r>
      <w:r w:rsidR="00DF181D" w:rsidRPr="0085745A">
        <w:t>disorders, as</w:t>
      </w:r>
      <w:r w:rsidRPr="0085745A">
        <w:t xml:space="preserve"> this subgroup of drug users is most likely to come to the attention of health and law enforcement. Moreover, this subgroup’s drug use has been estimated to cause the main </w:t>
      </w:r>
      <w:r w:rsidR="00895289" w:rsidRPr="002E1D6F">
        <w:t xml:space="preserve">burden of disease and </w:t>
      </w:r>
      <w:r w:rsidR="00CC4B4A">
        <w:t xml:space="preserve">on </w:t>
      </w:r>
      <w:r w:rsidRPr="002E1D6F">
        <w:t xml:space="preserve">public order. </w:t>
      </w:r>
    </w:p>
    <w:p w:rsidR="00786455" w:rsidRPr="0036585D" w:rsidRDefault="00D358AE" w:rsidP="006C7D5A">
      <w:r w:rsidRPr="002E1D6F">
        <w:t xml:space="preserve">The number of </w:t>
      </w:r>
      <w:r w:rsidR="0060541D">
        <w:t>“</w:t>
      </w:r>
      <w:r w:rsidR="0060541D" w:rsidRPr="009603EF">
        <w:t>people suffering from drug use disorders” was previously referred to as “</w:t>
      </w:r>
      <w:r w:rsidRPr="002E1D6F">
        <w:t>problem drug users</w:t>
      </w:r>
      <w:r w:rsidR="0060541D">
        <w:t>”.</w:t>
      </w:r>
      <w:r w:rsidRPr="002E1D6F">
        <w:t xml:space="preserve"> </w:t>
      </w:r>
      <w:r w:rsidRPr="0036585D">
        <w:t>In this Report, as in previous years, each of the five range estimates of t</w:t>
      </w:r>
      <w:r w:rsidR="00786455">
        <w:t>h</w:t>
      </w:r>
      <w:r w:rsidRPr="0036585D">
        <w:t xml:space="preserve">e number of people using each of the five drug groups was converted into a ‘heroin user equivalent’. This was calculated </w:t>
      </w:r>
      <w:r w:rsidR="00DF181D" w:rsidRPr="0036585D">
        <w:t>with</w:t>
      </w:r>
      <w:r w:rsidRPr="0036585D">
        <w:t xml:space="preserve"> ‘relative risk coefficients’ (see below) </w:t>
      </w:r>
    </w:p>
    <w:p w:rsidR="00D358AE" w:rsidRPr="00433A9E" w:rsidRDefault="00D358AE" w:rsidP="009603EF">
      <w:pPr>
        <w:jc w:val="center"/>
      </w:pPr>
      <w:r w:rsidRPr="00433A9E">
        <w:t>Table: Relative risk coefficient</w:t>
      </w:r>
    </w:p>
    <w:tbl>
      <w:tblPr>
        <w:tblW w:w="7180" w:type="dxa"/>
        <w:jc w:val="center"/>
        <w:tblLayout w:type="fixed"/>
        <w:tblLook w:val="04A0"/>
      </w:tblPr>
      <w:tblGrid>
        <w:gridCol w:w="1860"/>
        <w:gridCol w:w="960"/>
        <w:gridCol w:w="960"/>
        <w:gridCol w:w="960"/>
        <w:gridCol w:w="960"/>
        <w:gridCol w:w="1480"/>
      </w:tblGrid>
      <w:tr w:rsidR="00FB030D" w:rsidRPr="00FB030D" w:rsidTr="00147722">
        <w:trPr>
          <w:trHeight w:val="945"/>
          <w:jc w:val="center"/>
        </w:trPr>
        <w:tc>
          <w:tcPr>
            <w:tcW w:w="1860" w:type="dxa"/>
            <w:tcBorders>
              <w:top w:val="nil"/>
              <w:left w:val="nil"/>
              <w:bottom w:val="single" w:sz="12" w:space="0" w:color="FFFFFF"/>
              <w:right w:val="single" w:sz="12" w:space="0" w:color="FFFFFF"/>
            </w:tcBorders>
            <w:shd w:val="pct25" w:color="000000" w:fill="B1DDB1"/>
            <w:vAlign w:val="center"/>
            <w:hideMark/>
          </w:tcPr>
          <w:p w:rsidR="00FB030D" w:rsidRPr="00FB030D" w:rsidRDefault="00FB030D" w:rsidP="00FB030D">
            <w:pPr>
              <w:spacing w:before="0" w:line="240" w:lineRule="auto"/>
              <w:rPr>
                <w:color w:val="000000"/>
                <w:sz w:val="20"/>
                <w:szCs w:val="20"/>
                <w:lang w:eastAsia="zh-CN"/>
              </w:rPr>
            </w:pPr>
            <w:r w:rsidRPr="00FB030D">
              <w:rPr>
                <w:rFonts w:eastAsia="SimSun"/>
                <w:color w:val="000000"/>
                <w:sz w:val="20"/>
                <w:szCs w:val="20"/>
                <w:lang w:eastAsia="zh-CN"/>
              </w:rPr>
              <w:t> </w:t>
            </w:r>
          </w:p>
        </w:tc>
        <w:tc>
          <w:tcPr>
            <w:tcW w:w="960" w:type="dxa"/>
            <w:tcBorders>
              <w:top w:val="nil"/>
              <w:left w:val="nil"/>
              <w:bottom w:val="single" w:sz="12" w:space="0" w:color="FFFFFF"/>
              <w:right w:val="single" w:sz="12" w:space="0" w:color="FFFFFF"/>
            </w:tcBorders>
            <w:shd w:val="pct25" w:color="000000" w:fill="B1DDB1"/>
            <w:vAlign w:val="center"/>
            <w:hideMark/>
          </w:tcPr>
          <w:p w:rsidR="00FB030D" w:rsidRPr="00FB030D" w:rsidRDefault="00FB030D" w:rsidP="00FB030D">
            <w:pPr>
              <w:spacing w:before="0" w:line="240" w:lineRule="auto"/>
              <w:rPr>
                <w:color w:val="000000"/>
                <w:sz w:val="20"/>
                <w:szCs w:val="20"/>
                <w:lang w:eastAsia="zh-CN"/>
              </w:rPr>
            </w:pPr>
            <w:r w:rsidRPr="00FB030D">
              <w:rPr>
                <w:color w:val="000000"/>
                <w:sz w:val="20"/>
                <w:szCs w:val="20"/>
                <w:lang w:eastAsia="zh-CN"/>
              </w:rPr>
              <w:t>Treatment index</w:t>
            </w:r>
          </w:p>
        </w:tc>
        <w:tc>
          <w:tcPr>
            <w:tcW w:w="960" w:type="dxa"/>
            <w:tcBorders>
              <w:top w:val="nil"/>
              <w:left w:val="nil"/>
              <w:bottom w:val="single" w:sz="12" w:space="0" w:color="FFFFFF"/>
              <w:right w:val="single" w:sz="12" w:space="0" w:color="FFFFFF"/>
            </w:tcBorders>
            <w:shd w:val="pct25" w:color="000000" w:fill="B1DDB1"/>
            <w:vAlign w:val="center"/>
            <w:hideMark/>
          </w:tcPr>
          <w:p w:rsidR="00FB030D" w:rsidRPr="00FB030D" w:rsidRDefault="00FB030D" w:rsidP="00FB030D">
            <w:pPr>
              <w:spacing w:before="0" w:line="240" w:lineRule="auto"/>
              <w:rPr>
                <w:color w:val="000000"/>
                <w:sz w:val="20"/>
                <w:szCs w:val="20"/>
                <w:lang w:eastAsia="zh-CN"/>
              </w:rPr>
            </w:pPr>
            <w:r w:rsidRPr="00FB030D">
              <w:rPr>
                <w:color w:val="000000"/>
                <w:sz w:val="20"/>
                <w:szCs w:val="20"/>
                <w:lang w:eastAsia="zh-CN"/>
              </w:rPr>
              <w:t>IDU index</w:t>
            </w:r>
          </w:p>
        </w:tc>
        <w:tc>
          <w:tcPr>
            <w:tcW w:w="960" w:type="dxa"/>
            <w:tcBorders>
              <w:top w:val="nil"/>
              <w:left w:val="nil"/>
              <w:bottom w:val="single" w:sz="12" w:space="0" w:color="FFFFFF"/>
              <w:right w:val="single" w:sz="12" w:space="0" w:color="FFFFFF"/>
            </w:tcBorders>
            <w:shd w:val="pct25" w:color="000000" w:fill="B1DDB1"/>
            <w:vAlign w:val="center"/>
            <w:hideMark/>
          </w:tcPr>
          <w:p w:rsidR="00FB030D" w:rsidRPr="00FB030D" w:rsidRDefault="00FB030D" w:rsidP="00FB030D">
            <w:pPr>
              <w:spacing w:before="0" w:line="240" w:lineRule="auto"/>
              <w:rPr>
                <w:color w:val="000000"/>
                <w:sz w:val="20"/>
                <w:szCs w:val="20"/>
                <w:lang w:eastAsia="zh-CN"/>
              </w:rPr>
            </w:pPr>
            <w:r w:rsidRPr="00FB030D">
              <w:rPr>
                <w:color w:val="000000"/>
                <w:sz w:val="20"/>
                <w:szCs w:val="20"/>
                <w:lang w:eastAsia="zh-CN"/>
              </w:rPr>
              <w:t>Toxicity index</w:t>
            </w:r>
          </w:p>
        </w:tc>
        <w:tc>
          <w:tcPr>
            <w:tcW w:w="960" w:type="dxa"/>
            <w:tcBorders>
              <w:top w:val="nil"/>
              <w:left w:val="nil"/>
              <w:bottom w:val="single" w:sz="12" w:space="0" w:color="FFFFFF"/>
              <w:right w:val="single" w:sz="12" w:space="0" w:color="FFFFFF"/>
            </w:tcBorders>
            <w:shd w:val="pct25" w:color="000000" w:fill="B1DDB1"/>
            <w:vAlign w:val="center"/>
            <w:hideMark/>
          </w:tcPr>
          <w:p w:rsidR="00FB030D" w:rsidRPr="00FB030D" w:rsidRDefault="00FB030D" w:rsidP="00FB030D">
            <w:pPr>
              <w:spacing w:before="0" w:line="240" w:lineRule="auto"/>
              <w:rPr>
                <w:color w:val="000000"/>
                <w:sz w:val="20"/>
                <w:szCs w:val="20"/>
                <w:lang w:eastAsia="zh-CN"/>
              </w:rPr>
            </w:pPr>
            <w:r w:rsidRPr="00FB030D">
              <w:rPr>
                <w:color w:val="000000"/>
                <w:sz w:val="20"/>
                <w:szCs w:val="20"/>
                <w:lang w:eastAsia="zh-CN"/>
              </w:rPr>
              <w:t>Deaths index</w:t>
            </w:r>
          </w:p>
        </w:tc>
        <w:tc>
          <w:tcPr>
            <w:tcW w:w="1480" w:type="dxa"/>
            <w:tcBorders>
              <w:top w:val="nil"/>
              <w:left w:val="nil"/>
              <w:bottom w:val="single" w:sz="12" w:space="0" w:color="FFFFFF"/>
              <w:right w:val="nil"/>
            </w:tcBorders>
            <w:shd w:val="pct25" w:color="000000" w:fill="B1DDB1"/>
            <w:vAlign w:val="center"/>
            <w:hideMark/>
          </w:tcPr>
          <w:p w:rsidR="00FB030D" w:rsidRPr="00FB030D" w:rsidRDefault="00FB030D" w:rsidP="00FB030D">
            <w:pPr>
              <w:spacing w:before="0" w:line="240" w:lineRule="auto"/>
              <w:jc w:val="left"/>
              <w:rPr>
                <w:color w:val="000000"/>
                <w:sz w:val="20"/>
                <w:szCs w:val="20"/>
                <w:lang w:eastAsia="zh-CN"/>
              </w:rPr>
            </w:pPr>
            <w:r w:rsidRPr="00FB030D">
              <w:rPr>
                <w:color w:val="000000"/>
                <w:sz w:val="20"/>
                <w:szCs w:val="20"/>
                <w:lang w:eastAsia="zh-CN"/>
              </w:rPr>
              <w:t>Relative risk coefficient (average)</w:t>
            </w:r>
          </w:p>
        </w:tc>
      </w:tr>
      <w:tr w:rsidR="00FB030D" w:rsidRPr="00FB030D" w:rsidTr="00147722">
        <w:trPr>
          <w:trHeight w:val="330"/>
          <w:jc w:val="center"/>
        </w:trPr>
        <w:tc>
          <w:tcPr>
            <w:tcW w:w="1860" w:type="dxa"/>
            <w:tcBorders>
              <w:top w:val="nil"/>
              <w:left w:val="nil"/>
              <w:bottom w:val="single" w:sz="12" w:space="0" w:color="FFFFFF"/>
              <w:right w:val="single" w:sz="12" w:space="0" w:color="FFFFFF"/>
            </w:tcBorders>
            <w:shd w:val="pct25" w:color="000000" w:fill="2C2CB1"/>
            <w:vAlign w:val="center"/>
            <w:hideMark/>
          </w:tcPr>
          <w:p w:rsidR="00FB030D" w:rsidRPr="00FB030D" w:rsidRDefault="00FB030D" w:rsidP="00FB030D">
            <w:pPr>
              <w:spacing w:before="0" w:line="240" w:lineRule="auto"/>
              <w:rPr>
                <w:color w:val="FFFFFF"/>
                <w:sz w:val="20"/>
                <w:szCs w:val="20"/>
                <w:lang w:eastAsia="zh-CN"/>
              </w:rPr>
            </w:pPr>
            <w:r w:rsidRPr="00FB030D">
              <w:rPr>
                <w:color w:val="FFFFFF"/>
                <w:sz w:val="20"/>
                <w:szCs w:val="20"/>
                <w:lang w:eastAsia="zh-CN"/>
              </w:rPr>
              <w:t>Opiates</w:t>
            </w:r>
          </w:p>
        </w:tc>
        <w:tc>
          <w:tcPr>
            <w:tcW w:w="960" w:type="dxa"/>
            <w:tcBorders>
              <w:top w:val="nil"/>
              <w:left w:val="nil"/>
              <w:bottom w:val="single" w:sz="12" w:space="0" w:color="FFFFFF"/>
              <w:right w:val="single" w:sz="12" w:space="0" w:color="FFFFFF"/>
            </w:tcBorders>
            <w:shd w:val="pct25" w:color="000000" w:fill="2C2CB1"/>
            <w:vAlign w:val="center"/>
            <w:hideMark/>
          </w:tcPr>
          <w:p w:rsidR="00FB030D" w:rsidRPr="00FB030D" w:rsidRDefault="00FB030D" w:rsidP="00FB030D">
            <w:pPr>
              <w:spacing w:before="0" w:line="240" w:lineRule="auto"/>
              <w:rPr>
                <w:color w:val="FFFFFF"/>
                <w:sz w:val="20"/>
                <w:szCs w:val="20"/>
                <w:lang w:eastAsia="zh-CN"/>
              </w:rPr>
            </w:pPr>
            <w:r w:rsidRPr="00FB030D">
              <w:rPr>
                <w:color w:val="FFFFFF"/>
                <w:sz w:val="20"/>
                <w:szCs w:val="20"/>
                <w:lang w:eastAsia="zh-CN"/>
              </w:rPr>
              <w:t>100</w:t>
            </w:r>
          </w:p>
        </w:tc>
        <w:tc>
          <w:tcPr>
            <w:tcW w:w="960" w:type="dxa"/>
            <w:tcBorders>
              <w:top w:val="nil"/>
              <w:left w:val="nil"/>
              <w:bottom w:val="single" w:sz="12" w:space="0" w:color="FFFFFF"/>
              <w:right w:val="single" w:sz="12" w:space="0" w:color="FFFFFF"/>
            </w:tcBorders>
            <w:shd w:val="pct25" w:color="000000" w:fill="2C2CB1"/>
            <w:vAlign w:val="center"/>
            <w:hideMark/>
          </w:tcPr>
          <w:p w:rsidR="00FB030D" w:rsidRPr="00FB030D" w:rsidRDefault="00FB030D" w:rsidP="00FB030D">
            <w:pPr>
              <w:spacing w:before="0" w:line="240" w:lineRule="auto"/>
              <w:rPr>
                <w:color w:val="FFFFFF"/>
                <w:sz w:val="20"/>
                <w:szCs w:val="20"/>
                <w:lang w:eastAsia="zh-CN"/>
              </w:rPr>
            </w:pPr>
            <w:r w:rsidRPr="00FB030D">
              <w:rPr>
                <w:color w:val="FFFFFF"/>
                <w:sz w:val="20"/>
                <w:szCs w:val="20"/>
                <w:lang w:eastAsia="zh-CN"/>
              </w:rPr>
              <w:t>100</w:t>
            </w:r>
          </w:p>
        </w:tc>
        <w:tc>
          <w:tcPr>
            <w:tcW w:w="960" w:type="dxa"/>
            <w:tcBorders>
              <w:top w:val="nil"/>
              <w:left w:val="nil"/>
              <w:bottom w:val="single" w:sz="12" w:space="0" w:color="FFFFFF"/>
              <w:right w:val="single" w:sz="12" w:space="0" w:color="FFFFFF"/>
            </w:tcBorders>
            <w:shd w:val="pct25" w:color="000000" w:fill="2C2CB1"/>
            <w:vAlign w:val="center"/>
            <w:hideMark/>
          </w:tcPr>
          <w:p w:rsidR="00FB030D" w:rsidRPr="00FB030D" w:rsidRDefault="00FB030D" w:rsidP="00FB030D">
            <w:pPr>
              <w:spacing w:before="0" w:line="240" w:lineRule="auto"/>
              <w:rPr>
                <w:color w:val="FFFFFF"/>
                <w:sz w:val="20"/>
                <w:szCs w:val="20"/>
                <w:lang w:eastAsia="zh-CN"/>
              </w:rPr>
            </w:pPr>
            <w:r w:rsidRPr="00FB030D">
              <w:rPr>
                <w:color w:val="FFFFFF"/>
                <w:sz w:val="20"/>
                <w:szCs w:val="20"/>
                <w:lang w:eastAsia="zh-CN"/>
              </w:rPr>
              <w:t>100</w:t>
            </w:r>
          </w:p>
        </w:tc>
        <w:tc>
          <w:tcPr>
            <w:tcW w:w="960" w:type="dxa"/>
            <w:tcBorders>
              <w:top w:val="nil"/>
              <w:left w:val="nil"/>
              <w:bottom w:val="single" w:sz="12" w:space="0" w:color="FFFFFF"/>
              <w:right w:val="single" w:sz="12" w:space="0" w:color="FFFFFF"/>
            </w:tcBorders>
            <w:shd w:val="pct25" w:color="000000" w:fill="2C2CB1"/>
            <w:vAlign w:val="center"/>
            <w:hideMark/>
          </w:tcPr>
          <w:p w:rsidR="00FB030D" w:rsidRPr="00FB030D" w:rsidRDefault="00FB030D" w:rsidP="00FB030D">
            <w:pPr>
              <w:spacing w:before="0" w:line="240" w:lineRule="auto"/>
              <w:rPr>
                <w:color w:val="FFFFFF"/>
                <w:sz w:val="20"/>
                <w:szCs w:val="20"/>
                <w:lang w:eastAsia="zh-CN"/>
              </w:rPr>
            </w:pPr>
            <w:r w:rsidRPr="00FB030D">
              <w:rPr>
                <w:color w:val="FFFFFF"/>
                <w:sz w:val="20"/>
                <w:szCs w:val="20"/>
                <w:lang w:eastAsia="zh-CN"/>
              </w:rPr>
              <w:t>100</w:t>
            </w:r>
          </w:p>
        </w:tc>
        <w:tc>
          <w:tcPr>
            <w:tcW w:w="1480" w:type="dxa"/>
            <w:tcBorders>
              <w:top w:val="nil"/>
              <w:left w:val="nil"/>
              <w:bottom w:val="single" w:sz="12" w:space="0" w:color="FFFFFF"/>
              <w:right w:val="nil"/>
            </w:tcBorders>
            <w:shd w:val="pct25" w:color="000000" w:fill="2C2CB1"/>
            <w:vAlign w:val="center"/>
            <w:hideMark/>
          </w:tcPr>
          <w:p w:rsidR="00FB030D" w:rsidRPr="00FB030D" w:rsidRDefault="00FB030D" w:rsidP="00FB030D">
            <w:pPr>
              <w:spacing w:before="0" w:line="240" w:lineRule="auto"/>
              <w:rPr>
                <w:color w:val="FFFFFF"/>
                <w:sz w:val="20"/>
                <w:szCs w:val="20"/>
                <w:lang w:eastAsia="zh-CN"/>
              </w:rPr>
            </w:pPr>
            <w:r w:rsidRPr="00FB030D">
              <w:rPr>
                <w:color w:val="FFFFFF"/>
                <w:sz w:val="20"/>
                <w:szCs w:val="20"/>
                <w:lang w:eastAsia="zh-CN"/>
              </w:rPr>
              <w:t>100</w:t>
            </w:r>
          </w:p>
        </w:tc>
      </w:tr>
      <w:tr w:rsidR="00FB030D" w:rsidRPr="00FB030D" w:rsidTr="00147722">
        <w:trPr>
          <w:trHeight w:val="240"/>
          <w:jc w:val="center"/>
        </w:trPr>
        <w:tc>
          <w:tcPr>
            <w:tcW w:w="1860" w:type="dxa"/>
            <w:tcBorders>
              <w:top w:val="nil"/>
              <w:left w:val="nil"/>
              <w:bottom w:val="single" w:sz="12" w:space="0" w:color="FFFFFF"/>
              <w:right w:val="single" w:sz="12" w:space="0" w:color="FFFFFF"/>
            </w:tcBorders>
            <w:shd w:val="clear" w:color="000000" w:fill="66CCFF"/>
            <w:vAlign w:val="center"/>
            <w:hideMark/>
          </w:tcPr>
          <w:p w:rsidR="00FB030D" w:rsidRPr="00FB030D" w:rsidRDefault="00FB030D" w:rsidP="00FB030D">
            <w:pPr>
              <w:spacing w:before="0" w:line="240" w:lineRule="auto"/>
              <w:rPr>
                <w:color w:val="000000"/>
                <w:sz w:val="20"/>
                <w:szCs w:val="20"/>
                <w:lang w:eastAsia="zh-CN"/>
              </w:rPr>
            </w:pPr>
            <w:r w:rsidRPr="00FB030D">
              <w:rPr>
                <w:color w:val="000000"/>
                <w:sz w:val="20"/>
                <w:szCs w:val="20"/>
                <w:lang w:eastAsia="zh-CN"/>
              </w:rPr>
              <w:t>Cocaine</w:t>
            </w:r>
          </w:p>
        </w:tc>
        <w:tc>
          <w:tcPr>
            <w:tcW w:w="960" w:type="dxa"/>
            <w:tcBorders>
              <w:top w:val="nil"/>
              <w:left w:val="nil"/>
              <w:bottom w:val="single" w:sz="12" w:space="0" w:color="FFFFFF"/>
              <w:right w:val="single" w:sz="12" w:space="0" w:color="FFFFFF"/>
            </w:tcBorders>
            <w:shd w:val="clear" w:color="000000" w:fill="66CCFF"/>
            <w:vAlign w:val="center"/>
            <w:hideMark/>
          </w:tcPr>
          <w:p w:rsidR="00FB030D" w:rsidRPr="00FB030D" w:rsidRDefault="00FB030D" w:rsidP="00FB030D">
            <w:pPr>
              <w:spacing w:before="0" w:line="240" w:lineRule="auto"/>
              <w:rPr>
                <w:color w:val="000000"/>
                <w:sz w:val="20"/>
                <w:szCs w:val="20"/>
                <w:lang w:eastAsia="zh-CN"/>
              </w:rPr>
            </w:pPr>
            <w:r w:rsidRPr="00FB030D">
              <w:rPr>
                <w:color w:val="000000"/>
                <w:sz w:val="20"/>
                <w:szCs w:val="20"/>
                <w:lang w:eastAsia="zh-CN"/>
              </w:rPr>
              <w:t>85.3</w:t>
            </w:r>
          </w:p>
        </w:tc>
        <w:tc>
          <w:tcPr>
            <w:tcW w:w="960" w:type="dxa"/>
            <w:tcBorders>
              <w:top w:val="nil"/>
              <w:left w:val="nil"/>
              <w:bottom w:val="single" w:sz="12" w:space="0" w:color="FFFFFF"/>
              <w:right w:val="single" w:sz="12" w:space="0" w:color="FFFFFF"/>
            </w:tcBorders>
            <w:shd w:val="clear" w:color="000000" w:fill="66CCFF"/>
            <w:vAlign w:val="center"/>
            <w:hideMark/>
          </w:tcPr>
          <w:p w:rsidR="00FB030D" w:rsidRPr="00FB030D" w:rsidRDefault="00FB030D" w:rsidP="00FB030D">
            <w:pPr>
              <w:spacing w:before="0" w:line="240" w:lineRule="auto"/>
              <w:rPr>
                <w:color w:val="000000"/>
                <w:sz w:val="20"/>
                <w:szCs w:val="20"/>
                <w:lang w:eastAsia="zh-CN"/>
              </w:rPr>
            </w:pPr>
            <w:r w:rsidRPr="00FB030D">
              <w:rPr>
                <w:color w:val="000000"/>
                <w:sz w:val="20"/>
                <w:szCs w:val="20"/>
                <w:lang w:eastAsia="zh-CN"/>
              </w:rPr>
              <w:t>47.8</w:t>
            </w:r>
          </w:p>
        </w:tc>
        <w:tc>
          <w:tcPr>
            <w:tcW w:w="960" w:type="dxa"/>
            <w:tcBorders>
              <w:top w:val="nil"/>
              <w:left w:val="nil"/>
              <w:bottom w:val="single" w:sz="12" w:space="0" w:color="FFFFFF"/>
              <w:right w:val="single" w:sz="12" w:space="0" w:color="FFFFFF"/>
            </w:tcBorders>
            <w:shd w:val="clear" w:color="000000" w:fill="66CCFF"/>
            <w:vAlign w:val="center"/>
            <w:hideMark/>
          </w:tcPr>
          <w:p w:rsidR="00FB030D" w:rsidRPr="00FB030D" w:rsidRDefault="00FB030D" w:rsidP="00FB030D">
            <w:pPr>
              <w:spacing w:before="0" w:line="240" w:lineRule="auto"/>
              <w:rPr>
                <w:color w:val="000000"/>
                <w:sz w:val="20"/>
                <w:szCs w:val="20"/>
                <w:lang w:eastAsia="zh-CN"/>
              </w:rPr>
            </w:pPr>
            <w:r w:rsidRPr="00FB030D">
              <w:rPr>
                <w:color w:val="000000"/>
                <w:sz w:val="20"/>
                <w:szCs w:val="20"/>
                <w:lang w:eastAsia="zh-CN"/>
              </w:rPr>
              <w:t>88</w:t>
            </w:r>
          </w:p>
        </w:tc>
        <w:tc>
          <w:tcPr>
            <w:tcW w:w="960" w:type="dxa"/>
            <w:tcBorders>
              <w:top w:val="nil"/>
              <w:left w:val="nil"/>
              <w:bottom w:val="single" w:sz="12" w:space="0" w:color="FFFFFF"/>
              <w:right w:val="single" w:sz="12" w:space="0" w:color="FFFFFF"/>
            </w:tcBorders>
            <w:shd w:val="clear" w:color="000000" w:fill="66CCFF"/>
            <w:vAlign w:val="center"/>
            <w:hideMark/>
          </w:tcPr>
          <w:p w:rsidR="00FB030D" w:rsidRPr="00FB030D" w:rsidRDefault="00FB030D" w:rsidP="00FB030D">
            <w:pPr>
              <w:spacing w:before="0" w:line="240" w:lineRule="auto"/>
              <w:rPr>
                <w:color w:val="000000"/>
                <w:sz w:val="20"/>
                <w:szCs w:val="20"/>
                <w:lang w:eastAsia="zh-CN"/>
              </w:rPr>
            </w:pPr>
            <w:r w:rsidRPr="00FB030D">
              <w:rPr>
                <w:color w:val="000000"/>
                <w:sz w:val="20"/>
                <w:szCs w:val="20"/>
                <w:lang w:eastAsia="zh-CN"/>
              </w:rPr>
              <w:t>18.5</w:t>
            </w:r>
          </w:p>
        </w:tc>
        <w:tc>
          <w:tcPr>
            <w:tcW w:w="1480" w:type="dxa"/>
            <w:tcBorders>
              <w:top w:val="nil"/>
              <w:left w:val="nil"/>
              <w:bottom w:val="single" w:sz="12" w:space="0" w:color="FFFFFF"/>
              <w:right w:val="nil"/>
            </w:tcBorders>
            <w:shd w:val="clear" w:color="000000" w:fill="66CCFF"/>
            <w:vAlign w:val="center"/>
            <w:hideMark/>
          </w:tcPr>
          <w:p w:rsidR="00FB030D" w:rsidRPr="00FB030D" w:rsidRDefault="00FB030D" w:rsidP="00FB030D">
            <w:pPr>
              <w:spacing w:before="0" w:line="240" w:lineRule="auto"/>
              <w:rPr>
                <w:color w:val="000000"/>
                <w:sz w:val="20"/>
                <w:szCs w:val="20"/>
                <w:lang w:eastAsia="zh-CN"/>
              </w:rPr>
            </w:pPr>
            <w:r w:rsidRPr="00FB030D">
              <w:rPr>
                <w:color w:val="000000"/>
                <w:sz w:val="20"/>
                <w:szCs w:val="20"/>
                <w:lang w:eastAsia="zh-CN"/>
              </w:rPr>
              <w:t>59.9</w:t>
            </w:r>
          </w:p>
        </w:tc>
      </w:tr>
      <w:tr w:rsidR="00FB030D" w:rsidRPr="00FB030D" w:rsidTr="00147722">
        <w:trPr>
          <w:trHeight w:val="390"/>
          <w:jc w:val="center"/>
        </w:trPr>
        <w:tc>
          <w:tcPr>
            <w:tcW w:w="1860" w:type="dxa"/>
            <w:tcBorders>
              <w:top w:val="nil"/>
              <w:left w:val="nil"/>
              <w:bottom w:val="single" w:sz="12" w:space="0" w:color="FFFFFF"/>
              <w:right w:val="single" w:sz="12" w:space="0" w:color="FFFFFF"/>
            </w:tcBorders>
            <w:shd w:val="pct25" w:color="000000" w:fill="2C2CB1"/>
            <w:vAlign w:val="center"/>
            <w:hideMark/>
          </w:tcPr>
          <w:p w:rsidR="00FB030D" w:rsidRPr="00FB030D" w:rsidRDefault="00FB030D" w:rsidP="00FB030D">
            <w:pPr>
              <w:spacing w:before="0" w:line="240" w:lineRule="auto"/>
              <w:rPr>
                <w:color w:val="FFFFFF"/>
                <w:sz w:val="20"/>
                <w:szCs w:val="20"/>
                <w:lang w:eastAsia="zh-CN"/>
              </w:rPr>
            </w:pPr>
            <w:r w:rsidRPr="00FB030D">
              <w:rPr>
                <w:color w:val="FFFFFF"/>
                <w:sz w:val="20"/>
                <w:szCs w:val="20"/>
                <w:lang w:eastAsia="zh-CN"/>
              </w:rPr>
              <w:t>Amphetamines</w:t>
            </w:r>
          </w:p>
        </w:tc>
        <w:tc>
          <w:tcPr>
            <w:tcW w:w="960" w:type="dxa"/>
            <w:tcBorders>
              <w:top w:val="nil"/>
              <w:left w:val="nil"/>
              <w:bottom w:val="single" w:sz="12" w:space="0" w:color="FFFFFF"/>
              <w:right w:val="single" w:sz="12" w:space="0" w:color="FFFFFF"/>
            </w:tcBorders>
            <w:shd w:val="pct25" w:color="000000" w:fill="2C2CB1"/>
            <w:vAlign w:val="center"/>
            <w:hideMark/>
          </w:tcPr>
          <w:p w:rsidR="00FB030D" w:rsidRPr="00FB030D" w:rsidRDefault="00FB030D" w:rsidP="00FB030D">
            <w:pPr>
              <w:spacing w:before="0" w:line="240" w:lineRule="auto"/>
              <w:rPr>
                <w:color w:val="FFFFFF"/>
                <w:sz w:val="20"/>
                <w:szCs w:val="20"/>
                <w:lang w:eastAsia="zh-CN"/>
              </w:rPr>
            </w:pPr>
            <w:r w:rsidRPr="00FB030D">
              <w:rPr>
                <w:color w:val="FFFFFF"/>
                <w:sz w:val="20"/>
                <w:szCs w:val="20"/>
                <w:lang w:eastAsia="zh-CN"/>
              </w:rPr>
              <w:t>20.1</w:t>
            </w:r>
          </w:p>
        </w:tc>
        <w:tc>
          <w:tcPr>
            <w:tcW w:w="960" w:type="dxa"/>
            <w:tcBorders>
              <w:top w:val="nil"/>
              <w:left w:val="nil"/>
              <w:bottom w:val="single" w:sz="12" w:space="0" w:color="FFFFFF"/>
              <w:right w:val="single" w:sz="12" w:space="0" w:color="FFFFFF"/>
            </w:tcBorders>
            <w:shd w:val="pct25" w:color="000000" w:fill="2C2CB1"/>
            <w:vAlign w:val="center"/>
            <w:hideMark/>
          </w:tcPr>
          <w:p w:rsidR="00FB030D" w:rsidRPr="00FB030D" w:rsidRDefault="00FB030D" w:rsidP="00FB030D">
            <w:pPr>
              <w:spacing w:before="0" w:line="240" w:lineRule="auto"/>
              <w:rPr>
                <w:color w:val="FFFFFF"/>
                <w:sz w:val="20"/>
                <w:szCs w:val="20"/>
                <w:lang w:eastAsia="zh-CN"/>
              </w:rPr>
            </w:pPr>
            <w:r w:rsidRPr="00FB030D">
              <w:rPr>
                <w:color w:val="FFFFFF"/>
                <w:sz w:val="20"/>
                <w:szCs w:val="20"/>
                <w:lang w:eastAsia="zh-CN"/>
              </w:rPr>
              <w:t>59.5</w:t>
            </w:r>
          </w:p>
        </w:tc>
        <w:tc>
          <w:tcPr>
            <w:tcW w:w="960" w:type="dxa"/>
            <w:tcBorders>
              <w:top w:val="nil"/>
              <w:left w:val="nil"/>
              <w:bottom w:val="single" w:sz="12" w:space="0" w:color="FFFFFF"/>
              <w:right w:val="single" w:sz="12" w:space="0" w:color="FFFFFF"/>
            </w:tcBorders>
            <w:shd w:val="pct25" w:color="000000" w:fill="2C2CB1"/>
            <w:vAlign w:val="center"/>
            <w:hideMark/>
          </w:tcPr>
          <w:p w:rsidR="00FB030D" w:rsidRPr="00FB030D" w:rsidRDefault="00FB030D" w:rsidP="00FB030D">
            <w:pPr>
              <w:spacing w:before="0" w:line="240" w:lineRule="auto"/>
              <w:rPr>
                <w:color w:val="FFFFFF"/>
                <w:sz w:val="20"/>
                <w:szCs w:val="20"/>
                <w:lang w:eastAsia="zh-CN"/>
              </w:rPr>
            </w:pPr>
            <w:r w:rsidRPr="00FB030D">
              <w:rPr>
                <w:color w:val="FFFFFF"/>
                <w:sz w:val="20"/>
                <w:szCs w:val="20"/>
                <w:lang w:eastAsia="zh-CN"/>
              </w:rPr>
              <w:t>32</w:t>
            </w:r>
          </w:p>
        </w:tc>
        <w:tc>
          <w:tcPr>
            <w:tcW w:w="960" w:type="dxa"/>
            <w:tcBorders>
              <w:top w:val="nil"/>
              <w:left w:val="nil"/>
              <w:bottom w:val="single" w:sz="12" w:space="0" w:color="FFFFFF"/>
              <w:right w:val="single" w:sz="12" w:space="0" w:color="FFFFFF"/>
            </w:tcBorders>
            <w:shd w:val="pct25" w:color="000000" w:fill="2C2CB1"/>
            <w:vAlign w:val="center"/>
            <w:hideMark/>
          </w:tcPr>
          <w:p w:rsidR="00FB030D" w:rsidRPr="00FB030D" w:rsidRDefault="00FB030D" w:rsidP="00FB030D">
            <w:pPr>
              <w:spacing w:before="0" w:line="240" w:lineRule="auto"/>
              <w:rPr>
                <w:color w:val="FFFFFF"/>
                <w:sz w:val="20"/>
                <w:szCs w:val="20"/>
                <w:lang w:eastAsia="zh-CN"/>
              </w:rPr>
            </w:pPr>
            <w:r w:rsidRPr="00FB030D">
              <w:rPr>
                <w:color w:val="FFFFFF"/>
                <w:sz w:val="20"/>
                <w:szCs w:val="20"/>
                <w:lang w:eastAsia="zh-CN"/>
              </w:rPr>
              <w:t>6.8</w:t>
            </w:r>
          </w:p>
        </w:tc>
        <w:tc>
          <w:tcPr>
            <w:tcW w:w="1480" w:type="dxa"/>
            <w:tcBorders>
              <w:top w:val="nil"/>
              <w:left w:val="nil"/>
              <w:bottom w:val="single" w:sz="12" w:space="0" w:color="FFFFFF"/>
              <w:right w:val="nil"/>
            </w:tcBorders>
            <w:shd w:val="pct25" w:color="000000" w:fill="2C2CB1"/>
            <w:vAlign w:val="center"/>
            <w:hideMark/>
          </w:tcPr>
          <w:p w:rsidR="00FB030D" w:rsidRPr="00FB030D" w:rsidRDefault="00FB030D" w:rsidP="00FB030D">
            <w:pPr>
              <w:spacing w:before="0" w:line="240" w:lineRule="auto"/>
              <w:rPr>
                <w:color w:val="FFFFFF"/>
                <w:sz w:val="20"/>
                <w:szCs w:val="20"/>
                <w:lang w:eastAsia="zh-CN"/>
              </w:rPr>
            </w:pPr>
            <w:r w:rsidRPr="00FB030D">
              <w:rPr>
                <w:color w:val="FFFFFF"/>
                <w:sz w:val="20"/>
                <w:szCs w:val="20"/>
                <w:lang w:eastAsia="zh-CN"/>
              </w:rPr>
              <w:t>29.6</w:t>
            </w:r>
          </w:p>
        </w:tc>
      </w:tr>
      <w:tr w:rsidR="00FB030D" w:rsidRPr="00FB030D" w:rsidTr="00147722">
        <w:trPr>
          <w:trHeight w:val="225"/>
          <w:jc w:val="center"/>
        </w:trPr>
        <w:tc>
          <w:tcPr>
            <w:tcW w:w="1860" w:type="dxa"/>
            <w:tcBorders>
              <w:top w:val="nil"/>
              <w:left w:val="nil"/>
              <w:bottom w:val="single" w:sz="12" w:space="0" w:color="FFFFFF"/>
              <w:right w:val="single" w:sz="12" w:space="0" w:color="FFFFFF"/>
            </w:tcBorders>
            <w:shd w:val="clear" w:color="000000" w:fill="66CCFF"/>
            <w:vAlign w:val="center"/>
            <w:hideMark/>
          </w:tcPr>
          <w:p w:rsidR="00FB030D" w:rsidRPr="00FB030D" w:rsidRDefault="00FB030D" w:rsidP="00FB030D">
            <w:pPr>
              <w:spacing w:before="0" w:line="240" w:lineRule="auto"/>
              <w:rPr>
                <w:color w:val="000000"/>
                <w:sz w:val="20"/>
                <w:szCs w:val="20"/>
                <w:lang w:eastAsia="zh-CN"/>
              </w:rPr>
            </w:pPr>
            <w:r w:rsidRPr="00FB030D">
              <w:rPr>
                <w:color w:val="000000"/>
                <w:sz w:val="20"/>
                <w:szCs w:val="20"/>
                <w:lang w:eastAsia="zh-CN"/>
              </w:rPr>
              <w:t>Ecstasy</w:t>
            </w:r>
          </w:p>
        </w:tc>
        <w:tc>
          <w:tcPr>
            <w:tcW w:w="960" w:type="dxa"/>
            <w:tcBorders>
              <w:top w:val="nil"/>
              <w:left w:val="nil"/>
              <w:bottom w:val="single" w:sz="12" w:space="0" w:color="FFFFFF"/>
              <w:right w:val="single" w:sz="12" w:space="0" w:color="FFFFFF"/>
            </w:tcBorders>
            <w:shd w:val="clear" w:color="000000" w:fill="66CCFF"/>
            <w:vAlign w:val="center"/>
            <w:hideMark/>
          </w:tcPr>
          <w:p w:rsidR="00FB030D" w:rsidRPr="00FB030D" w:rsidRDefault="00FB030D" w:rsidP="00FB030D">
            <w:pPr>
              <w:spacing w:before="0" w:line="240" w:lineRule="auto"/>
              <w:rPr>
                <w:color w:val="000000"/>
                <w:sz w:val="20"/>
                <w:szCs w:val="20"/>
                <w:lang w:eastAsia="zh-CN"/>
              </w:rPr>
            </w:pPr>
            <w:r w:rsidRPr="00FB030D">
              <w:rPr>
                <w:color w:val="000000"/>
                <w:sz w:val="20"/>
                <w:szCs w:val="20"/>
                <w:lang w:eastAsia="zh-CN"/>
              </w:rPr>
              <w:t>3.8</w:t>
            </w:r>
          </w:p>
        </w:tc>
        <w:tc>
          <w:tcPr>
            <w:tcW w:w="960" w:type="dxa"/>
            <w:tcBorders>
              <w:top w:val="nil"/>
              <w:left w:val="nil"/>
              <w:bottom w:val="single" w:sz="12" w:space="0" w:color="FFFFFF"/>
              <w:right w:val="single" w:sz="12" w:space="0" w:color="FFFFFF"/>
            </w:tcBorders>
            <w:shd w:val="clear" w:color="000000" w:fill="66CCFF"/>
            <w:vAlign w:val="center"/>
            <w:hideMark/>
          </w:tcPr>
          <w:p w:rsidR="00FB030D" w:rsidRPr="00FB030D" w:rsidRDefault="00FB030D" w:rsidP="00FB030D">
            <w:pPr>
              <w:spacing w:before="0" w:line="240" w:lineRule="auto"/>
              <w:rPr>
                <w:color w:val="000000"/>
                <w:sz w:val="20"/>
                <w:szCs w:val="20"/>
                <w:lang w:eastAsia="zh-CN"/>
              </w:rPr>
            </w:pPr>
            <w:r w:rsidRPr="00FB030D">
              <w:rPr>
                <w:color w:val="000000"/>
                <w:sz w:val="20"/>
                <w:szCs w:val="20"/>
                <w:lang w:eastAsia="zh-CN"/>
              </w:rPr>
              <w:t>6.1</w:t>
            </w:r>
          </w:p>
        </w:tc>
        <w:tc>
          <w:tcPr>
            <w:tcW w:w="960" w:type="dxa"/>
            <w:tcBorders>
              <w:top w:val="nil"/>
              <w:left w:val="nil"/>
              <w:bottom w:val="single" w:sz="12" w:space="0" w:color="FFFFFF"/>
              <w:right w:val="single" w:sz="12" w:space="0" w:color="FFFFFF"/>
            </w:tcBorders>
            <w:shd w:val="clear" w:color="000000" w:fill="66CCFF"/>
            <w:vAlign w:val="center"/>
            <w:hideMark/>
          </w:tcPr>
          <w:p w:rsidR="00FB030D" w:rsidRPr="00FB030D" w:rsidRDefault="00FB030D" w:rsidP="00FB030D">
            <w:pPr>
              <w:spacing w:before="0" w:line="240" w:lineRule="auto"/>
              <w:rPr>
                <w:color w:val="000000"/>
                <w:sz w:val="20"/>
                <w:szCs w:val="20"/>
                <w:lang w:eastAsia="zh-CN"/>
              </w:rPr>
            </w:pPr>
            <w:r w:rsidRPr="00FB030D">
              <w:rPr>
                <w:color w:val="000000"/>
                <w:sz w:val="20"/>
                <w:szCs w:val="20"/>
                <w:lang w:eastAsia="zh-CN"/>
              </w:rPr>
              <w:t>20.7</w:t>
            </w:r>
          </w:p>
        </w:tc>
        <w:tc>
          <w:tcPr>
            <w:tcW w:w="960" w:type="dxa"/>
            <w:tcBorders>
              <w:top w:val="nil"/>
              <w:left w:val="nil"/>
              <w:bottom w:val="single" w:sz="12" w:space="0" w:color="FFFFFF"/>
              <w:right w:val="single" w:sz="12" w:space="0" w:color="FFFFFF"/>
            </w:tcBorders>
            <w:shd w:val="clear" w:color="000000" w:fill="66CCFF"/>
            <w:vAlign w:val="center"/>
            <w:hideMark/>
          </w:tcPr>
          <w:p w:rsidR="00FB030D" w:rsidRPr="00FB030D" w:rsidRDefault="00FB030D" w:rsidP="00FB030D">
            <w:pPr>
              <w:spacing w:before="0" w:line="240" w:lineRule="auto"/>
              <w:rPr>
                <w:color w:val="000000"/>
                <w:sz w:val="20"/>
                <w:szCs w:val="20"/>
                <w:lang w:eastAsia="zh-CN"/>
              </w:rPr>
            </w:pPr>
            <w:r w:rsidRPr="00FB030D">
              <w:rPr>
                <w:color w:val="000000"/>
                <w:sz w:val="20"/>
                <w:szCs w:val="20"/>
                <w:lang w:eastAsia="zh-CN"/>
              </w:rPr>
              <w:t>1</w:t>
            </w:r>
          </w:p>
        </w:tc>
        <w:tc>
          <w:tcPr>
            <w:tcW w:w="1480" w:type="dxa"/>
            <w:tcBorders>
              <w:top w:val="nil"/>
              <w:left w:val="nil"/>
              <w:bottom w:val="single" w:sz="12" w:space="0" w:color="FFFFFF"/>
              <w:right w:val="nil"/>
            </w:tcBorders>
            <w:shd w:val="clear" w:color="000000" w:fill="66CCFF"/>
            <w:vAlign w:val="center"/>
            <w:hideMark/>
          </w:tcPr>
          <w:p w:rsidR="00FB030D" w:rsidRPr="00FB030D" w:rsidRDefault="00FB030D" w:rsidP="00FB030D">
            <w:pPr>
              <w:spacing w:before="0" w:line="240" w:lineRule="auto"/>
              <w:rPr>
                <w:color w:val="000000"/>
                <w:sz w:val="20"/>
                <w:szCs w:val="20"/>
                <w:lang w:eastAsia="zh-CN"/>
              </w:rPr>
            </w:pPr>
            <w:r w:rsidRPr="00FB030D">
              <w:rPr>
                <w:color w:val="000000"/>
                <w:sz w:val="20"/>
                <w:szCs w:val="20"/>
                <w:lang w:eastAsia="zh-CN"/>
              </w:rPr>
              <w:t>7.9</w:t>
            </w:r>
          </w:p>
        </w:tc>
      </w:tr>
      <w:tr w:rsidR="00FB030D" w:rsidRPr="00FB030D" w:rsidTr="00147722">
        <w:trPr>
          <w:trHeight w:val="330"/>
          <w:jc w:val="center"/>
        </w:trPr>
        <w:tc>
          <w:tcPr>
            <w:tcW w:w="1860" w:type="dxa"/>
            <w:tcBorders>
              <w:top w:val="nil"/>
              <w:left w:val="nil"/>
              <w:bottom w:val="single" w:sz="12" w:space="0" w:color="FFFFFF"/>
              <w:right w:val="single" w:sz="12" w:space="0" w:color="FFFFFF"/>
            </w:tcBorders>
            <w:shd w:val="pct25" w:color="000000" w:fill="2C2CB1"/>
            <w:vAlign w:val="center"/>
            <w:hideMark/>
          </w:tcPr>
          <w:p w:rsidR="00FB030D" w:rsidRPr="00FB030D" w:rsidRDefault="00FB030D" w:rsidP="00FB030D">
            <w:pPr>
              <w:spacing w:before="0" w:line="240" w:lineRule="auto"/>
              <w:rPr>
                <w:color w:val="FFFFFF"/>
                <w:sz w:val="20"/>
                <w:szCs w:val="20"/>
                <w:lang w:eastAsia="zh-CN"/>
              </w:rPr>
            </w:pPr>
            <w:r w:rsidRPr="00FB030D">
              <w:rPr>
                <w:color w:val="FFFFFF"/>
                <w:sz w:val="20"/>
                <w:szCs w:val="20"/>
                <w:lang w:eastAsia="zh-CN"/>
              </w:rPr>
              <w:t>Cannabis</w:t>
            </w:r>
          </w:p>
        </w:tc>
        <w:tc>
          <w:tcPr>
            <w:tcW w:w="960" w:type="dxa"/>
            <w:tcBorders>
              <w:top w:val="nil"/>
              <w:left w:val="nil"/>
              <w:bottom w:val="single" w:sz="12" w:space="0" w:color="FFFFFF"/>
              <w:right w:val="single" w:sz="12" w:space="0" w:color="FFFFFF"/>
            </w:tcBorders>
            <w:shd w:val="pct25" w:color="000000" w:fill="2C2CB1"/>
            <w:vAlign w:val="center"/>
            <w:hideMark/>
          </w:tcPr>
          <w:p w:rsidR="00FB030D" w:rsidRPr="00FB030D" w:rsidRDefault="00FB030D" w:rsidP="00FB030D">
            <w:pPr>
              <w:spacing w:before="0" w:line="240" w:lineRule="auto"/>
              <w:rPr>
                <w:color w:val="FFFFFF"/>
                <w:sz w:val="20"/>
                <w:szCs w:val="20"/>
                <w:lang w:eastAsia="zh-CN"/>
              </w:rPr>
            </w:pPr>
            <w:r w:rsidRPr="00FB030D">
              <w:rPr>
                <w:color w:val="FFFFFF"/>
                <w:sz w:val="20"/>
                <w:szCs w:val="20"/>
                <w:lang w:eastAsia="zh-CN"/>
              </w:rPr>
              <w:t>9</w:t>
            </w:r>
          </w:p>
        </w:tc>
        <w:tc>
          <w:tcPr>
            <w:tcW w:w="960" w:type="dxa"/>
            <w:tcBorders>
              <w:top w:val="nil"/>
              <w:left w:val="nil"/>
              <w:bottom w:val="single" w:sz="12" w:space="0" w:color="FFFFFF"/>
              <w:right w:val="single" w:sz="12" w:space="0" w:color="FFFFFF"/>
            </w:tcBorders>
            <w:shd w:val="pct25" w:color="000000" w:fill="2C2CB1"/>
            <w:vAlign w:val="center"/>
            <w:hideMark/>
          </w:tcPr>
          <w:p w:rsidR="00FB030D" w:rsidRPr="00FB030D" w:rsidRDefault="00FB030D" w:rsidP="00FB030D">
            <w:pPr>
              <w:spacing w:before="0" w:line="240" w:lineRule="auto"/>
              <w:rPr>
                <w:color w:val="FFFFFF"/>
                <w:sz w:val="20"/>
                <w:szCs w:val="20"/>
                <w:lang w:eastAsia="zh-CN"/>
              </w:rPr>
            </w:pPr>
            <w:r w:rsidRPr="00FB030D">
              <w:rPr>
                <w:color w:val="FFFFFF"/>
                <w:sz w:val="20"/>
                <w:szCs w:val="20"/>
                <w:lang w:eastAsia="zh-CN"/>
              </w:rPr>
              <w:t>0</w:t>
            </w:r>
          </w:p>
        </w:tc>
        <w:tc>
          <w:tcPr>
            <w:tcW w:w="960" w:type="dxa"/>
            <w:tcBorders>
              <w:top w:val="nil"/>
              <w:left w:val="nil"/>
              <w:bottom w:val="single" w:sz="12" w:space="0" w:color="FFFFFF"/>
              <w:right w:val="single" w:sz="12" w:space="0" w:color="FFFFFF"/>
            </w:tcBorders>
            <w:shd w:val="pct25" w:color="000000" w:fill="2C2CB1"/>
            <w:vAlign w:val="center"/>
            <w:hideMark/>
          </w:tcPr>
          <w:p w:rsidR="00FB030D" w:rsidRPr="00FB030D" w:rsidRDefault="00FB030D" w:rsidP="00FB030D">
            <w:pPr>
              <w:spacing w:before="0" w:line="240" w:lineRule="auto"/>
              <w:rPr>
                <w:color w:val="FFFFFF"/>
                <w:sz w:val="20"/>
                <w:szCs w:val="20"/>
                <w:lang w:eastAsia="zh-CN"/>
              </w:rPr>
            </w:pPr>
            <w:r w:rsidRPr="00FB030D">
              <w:rPr>
                <w:color w:val="FFFFFF"/>
                <w:sz w:val="20"/>
                <w:szCs w:val="20"/>
                <w:lang w:eastAsia="zh-CN"/>
              </w:rPr>
              <w:t>1.5</w:t>
            </w:r>
          </w:p>
        </w:tc>
        <w:tc>
          <w:tcPr>
            <w:tcW w:w="960" w:type="dxa"/>
            <w:tcBorders>
              <w:top w:val="nil"/>
              <w:left w:val="nil"/>
              <w:bottom w:val="single" w:sz="12" w:space="0" w:color="FFFFFF"/>
              <w:right w:val="single" w:sz="12" w:space="0" w:color="FFFFFF"/>
            </w:tcBorders>
            <w:shd w:val="pct25" w:color="000000" w:fill="2C2CB1"/>
            <w:vAlign w:val="center"/>
            <w:hideMark/>
          </w:tcPr>
          <w:p w:rsidR="00FB030D" w:rsidRPr="00FB030D" w:rsidRDefault="00FB030D" w:rsidP="00FB030D">
            <w:pPr>
              <w:spacing w:before="0" w:line="240" w:lineRule="auto"/>
              <w:rPr>
                <w:color w:val="FFFFFF"/>
                <w:sz w:val="20"/>
                <w:szCs w:val="20"/>
                <w:lang w:eastAsia="zh-CN"/>
              </w:rPr>
            </w:pPr>
            <w:r w:rsidRPr="00FB030D">
              <w:rPr>
                <w:color w:val="FFFFFF"/>
                <w:sz w:val="20"/>
                <w:szCs w:val="20"/>
                <w:lang w:eastAsia="zh-CN"/>
              </w:rPr>
              <w:t>0.6</w:t>
            </w:r>
          </w:p>
        </w:tc>
        <w:tc>
          <w:tcPr>
            <w:tcW w:w="1480" w:type="dxa"/>
            <w:tcBorders>
              <w:top w:val="nil"/>
              <w:left w:val="nil"/>
              <w:bottom w:val="single" w:sz="12" w:space="0" w:color="FFFFFF"/>
              <w:right w:val="nil"/>
            </w:tcBorders>
            <w:shd w:val="pct25" w:color="000000" w:fill="2C2CB1"/>
            <w:vAlign w:val="center"/>
            <w:hideMark/>
          </w:tcPr>
          <w:p w:rsidR="00FB030D" w:rsidRPr="00FB030D" w:rsidRDefault="00FB030D" w:rsidP="00FB030D">
            <w:pPr>
              <w:spacing w:before="0" w:line="240" w:lineRule="auto"/>
              <w:rPr>
                <w:color w:val="FFFFFF"/>
                <w:sz w:val="20"/>
                <w:szCs w:val="20"/>
                <w:lang w:eastAsia="zh-CN"/>
              </w:rPr>
            </w:pPr>
            <w:r w:rsidRPr="00FB030D">
              <w:rPr>
                <w:color w:val="FFFFFF"/>
                <w:sz w:val="20"/>
                <w:szCs w:val="20"/>
                <w:lang w:eastAsia="zh-CN"/>
              </w:rPr>
              <w:t>2.8</w:t>
            </w:r>
          </w:p>
        </w:tc>
      </w:tr>
    </w:tbl>
    <w:p w:rsidR="00D358AE" w:rsidRPr="0036585D" w:rsidRDefault="00D358AE" w:rsidP="00F16E68">
      <w:r w:rsidRPr="0036585D">
        <w:lastRenderedPageBreak/>
        <w:t xml:space="preserve">A lower range was calculated by summing each of the five lower range estimates; the upper end of the range was calculated by summing the upper range of the five estimates. </w:t>
      </w:r>
    </w:p>
    <w:p w:rsidR="00D358AE" w:rsidRPr="00D662FD" w:rsidRDefault="00D358AE" w:rsidP="00F16E68">
      <w:r w:rsidRPr="0036585D">
        <w:t>To obtain an estimate of the number of ‘problem drug users’</w:t>
      </w:r>
      <w:r w:rsidR="00F1313F">
        <w:t xml:space="preserve"> (i.e. an estimate of the number of people suffering from drug use disorders)</w:t>
      </w:r>
      <w:r w:rsidRPr="0036585D">
        <w:t xml:space="preserve">, these totals were multiplied by the </w:t>
      </w:r>
      <w:r w:rsidR="00381F22" w:rsidRPr="0036585D">
        <w:t xml:space="preserve">corresponding </w:t>
      </w:r>
      <w:r w:rsidRPr="0036585D">
        <w:t>proportion of</w:t>
      </w:r>
      <w:r w:rsidR="002F6AEF">
        <w:t xml:space="preserve"> dependent </w:t>
      </w:r>
      <w:r w:rsidR="00C07BB7">
        <w:t xml:space="preserve">heroin users </w:t>
      </w:r>
      <w:r w:rsidR="00592E6F">
        <w:t xml:space="preserve">(DSM-IV) </w:t>
      </w:r>
      <w:r w:rsidR="00C07BB7">
        <w:t xml:space="preserve">among </w:t>
      </w:r>
      <w:r w:rsidRPr="0036585D">
        <w:t xml:space="preserve">past year heroin users in the United States National Survey on Drug Use and Health (range 53-68% over </w:t>
      </w:r>
      <w:r w:rsidR="002F6AEF">
        <w:t>a five year period</w:t>
      </w:r>
      <w:r w:rsidRPr="0036585D">
        <w:t xml:space="preserve">). Hence, </w:t>
      </w:r>
      <w:r w:rsidR="00A45E8A" w:rsidRPr="0036585D">
        <w:t>t</w:t>
      </w:r>
      <w:r w:rsidRPr="0036585D">
        <w:t xml:space="preserve">he LOW estimate is the lower proportion (53%) multiplied by the lower estimated size of the heroin use equivalent population. The HIGH estimate is the higher proportion (68%) multiplied by the higher estimated size of the heroin use equivalent population. </w:t>
      </w:r>
    </w:p>
    <w:p w:rsidR="002C2EC4" w:rsidRPr="0036585D" w:rsidRDefault="002C2EC4" w:rsidP="009603EF">
      <w:pPr>
        <w:pStyle w:val="3"/>
      </w:pPr>
      <w:bookmarkStart w:id="53" w:name="_Toc517172919"/>
      <w:bookmarkStart w:id="54" w:name="_Toc517173013"/>
      <w:bookmarkStart w:id="55" w:name="_Toc108702212"/>
      <w:r w:rsidRPr="0036585D">
        <w:t>Calculation of regional and global estimates of cannabis use among 15-16 years old students</w:t>
      </w:r>
      <w:bookmarkEnd w:id="53"/>
      <w:bookmarkEnd w:id="54"/>
      <w:bookmarkEnd w:id="55"/>
    </w:p>
    <w:p w:rsidR="002F1D1B" w:rsidRPr="0092693B" w:rsidRDefault="002700FD" w:rsidP="009603EF">
      <w:r>
        <w:t xml:space="preserve">In 2018, </w:t>
      </w:r>
      <w:r w:rsidR="002C2EC4" w:rsidRPr="0092693B">
        <w:t xml:space="preserve">UNODC </w:t>
      </w:r>
      <w:r w:rsidR="00063C4A">
        <w:t>produced</w:t>
      </w:r>
      <w:r w:rsidR="00063C4A" w:rsidRPr="0092693B">
        <w:t xml:space="preserve"> </w:t>
      </w:r>
      <w:r w:rsidR="002C2EC4" w:rsidRPr="0092693B">
        <w:t xml:space="preserve">in the World Drug Report – for the first time – an estimate of the annual prevalence of cannabis use among 15-16 years old students, based on available data from 130 countries. </w:t>
      </w:r>
      <w:r w:rsidR="007D330B">
        <w:t>Starting from 2019</w:t>
      </w:r>
      <w:r w:rsidR="00130F5D">
        <w:t xml:space="preserve">, the World Drug Report presents also estimates of any illicit drug use prevalence among 15-16 years old students.  </w:t>
      </w:r>
      <w:r w:rsidR="002C2EC4" w:rsidRPr="0092693B">
        <w:t xml:space="preserve"> </w:t>
      </w:r>
    </w:p>
    <w:p w:rsidR="002C2EC4" w:rsidRPr="0036585D" w:rsidRDefault="002C2EC4" w:rsidP="00F16E68">
      <w:r w:rsidRPr="0036585D">
        <w:t>The age group “15-16 years” was chosen as this is the “preferred” age group for “youth” that is asked in UNODC’s annual report questionnaire. This age group was also chosen by ESPAD which regularly provides data from some 35 European countries on drug and alcohol use. This age group is also available from the surveys among 10</w:t>
      </w:r>
      <w:r w:rsidRPr="0036585D">
        <w:rPr>
          <w:vertAlign w:val="superscript"/>
        </w:rPr>
        <w:t>th</w:t>
      </w:r>
      <w:r w:rsidRPr="0036585D">
        <w:t xml:space="preserve"> graders undertaken annually under the Monitoring the Future project in the United States, funded by the National Institute on Drug Abuse (NIDA)</w:t>
      </w:r>
      <w:r w:rsidR="00DF181D" w:rsidRPr="0036585D">
        <w:t>,</w:t>
      </w:r>
      <w:r w:rsidRPr="0036585D">
        <w:t xml:space="preserve"> and from a number of other countries.  </w:t>
      </w:r>
    </w:p>
    <w:p w:rsidR="002C2EC4" w:rsidRPr="0036585D" w:rsidRDefault="002C2EC4" w:rsidP="00F16E68">
      <w:pPr>
        <w:rPr>
          <w:sz w:val="20"/>
          <w:szCs w:val="20"/>
          <w:lang w:eastAsia="zh-CN"/>
        </w:rPr>
      </w:pPr>
      <w:r w:rsidRPr="0036585D">
        <w:t>Cannabis use prevalence rates typically increase with age until around 18-20 years before declining again thereafter with age. This also means that for most countries cannabis use prevalence rates among 15-16 years old students turn out to be rather similar to the broader group of students aged 12-18 (with those aged 12-14 showing lower rates and those aged 17-18 showing higher rates). Thus, for the United States the annual cannabis use prevalence rates amongst 10</w:t>
      </w:r>
      <w:r w:rsidRPr="0036585D">
        <w:rPr>
          <w:vertAlign w:val="superscript"/>
        </w:rPr>
        <w:t>th</w:t>
      </w:r>
      <w:r w:rsidRPr="0036585D">
        <w:t xml:space="preserve"> graders turn out to be very similar to those found amongst 8</w:t>
      </w:r>
      <w:r w:rsidRPr="0036585D">
        <w:rPr>
          <w:vertAlign w:val="superscript"/>
        </w:rPr>
        <w:t>th</w:t>
      </w:r>
      <w:r w:rsidRPr="0036585D">
        <w:t>, 10</w:t>
      </w:r>
      <w:r w:rsidRPr="0036585D">
        <w:rPr>
          <w:vertAlign w:val="superscript"/>
        </w:rPr>
        <w:t>th</w:t>
      </w:r>
      <w:r w:rsidRPr="0036585D">
        <w:t xml:space="preserve"> and 12</w:t>
      </w:r>
      <w:r w:rsidRPr="0036585D">
        <w:rPr>
          <w:vertAlign w:val="superscript"/>
        </w:rPr>
        <w:t>th</w:t>
      </w:r>
      <w:r w:rsidRPr="0036585D">
        <w:t xml:space="preserve"> graders combined. Similarly, in Colombia annual prevalence of cannabis use amongst 12 to </w:t>
      </w:r>
      <w:r w:rsidRPr="0036585D">
        <w:lastRenderedPageBreak/>
        <w:t>18 years old students was found to have been very similar to the rates found among 15-16 years old students. The same applies to students in Pakistan as well. Cannabis use prevalence rates among students aged 15-16 are thus reasonably good proxies for cannabis use among the overall student population aged 12-18. They are thus the preferred indicator for measuring student drug use at the international level as is also reflected in the question on student drug use in UNODC’s annual report questionnaire.</w:t>
      </w:r>
    </w:p>
    <w:p w:rsidR="002C2EC4" w:rsidRPr="0036585D" w:rsidRDefault="002C2EC4" w:rsidP="00F16E68">
      <w:r w:rsidRPr="0036585D">
        <w:t>The methodology chosen to calculate the global average of cannabis use among students</w:t>
      </w:r>
      <w:r w:rsidR="00274B7C">
        <w:t xml:space="preserve"> </w:t>
      </w:r>
      <w:r w:rsidRPr="0036585D">
        <w:t xml:space="preserve">aged 15-16 years was very similar to the methodology used to calculate cannabis use among the general population aged 15-64: </w:t>
      </w:r>
    </w:p>
    <w:p w:rsidR="0092693B" w:rsidRDefault="002C2EC4" w:rsidP="00F16E68">
      <w:pPr>
        <w:numPr>
          <w:ilvl w:val="0"/>
          <w:numId w:val="16"/>
        </w:numPr>
      </w:pPr>
      <w:r w:rsidRPr="0036585D">
        <w:t>Listing – on a sub-regional basis – the latest annual prevalence rates of cannabis use among the population aged 15-16 (which in most cases reflected school surveys) and multiplying such percentages with the average population of those aged 15-16 in those countries in 20</w:t>
      </w:r>
      <w:r w:rsidR="00CD591A">
        <w:t>20</w:t>
      </w:r>
      <w:r w:rsidRPr="0036585D">
        <w:t xml:space="preserve">. </w:t>
      </w:r>
    </w:p>
    <w:p w:rsidR="0092693B" w:rsidRDefault="002C2EC4" w:rsidP="00F16E68">
      <w:pPr>
        <w:numPr>
          <w:ilvl w:val="0"/>
          <w:numId w:val="16"/>
        </w:numPr>
      </w:pPr>
      <w:r w:rsidRPr="0092693B">
        <w:t>For the remaining countries that reported prevalence data on cannabis use (but not the requested age group o</w:t>
      </w:r>
      <w:r w:rsidR="008F56D1">
        <w:t>r</w:t>
      </w:r>
      <w:r w:rsidRPr="0092693B">
        <w:t xml:space="preserve"> not annual prevalence</w:t>
      </w:r>
      <w:r w:rsidR="008F56D1">
        <w:t>),</w:t>
      </w:r>
      <w:r w:rsidRPr="0092693B">
        <w:t xml:space="preserve"> the following adjustments/extrapolations were done:</w:t>
      </w:r>
    </w:p>
    <w:p w:rsidR="007B32B7" w:rsidRDefault="002C2EC4" w:rsidP="00F16E68">
      <w:pPr>
        <w:numPr>
          <w:ilvl w:val="1"/>
          <w:numId w:val="16"/>
        </w:numPr>
      </w:pPr>
      <w:r w:rsidRPr="0092693B">
        <w:t xml:space="preserve">Adjusting surveys using different age groups to a likely estimate for the population aged 15-16 years; the age adjustments were done based on detailed data from the United Stated for countries in North America, Europe and the developed countries of the Oceania region (i.e. Australia and New Zealand); for Africa and Asia based on detailed data available from Pakistan and for South America, Central America and the Caribbean based on detailed data available from Colombia.  </w:t>
      </w:r>
    </w:p>
    <w:p w:rsidR="002C2EC4" w:rsidRPr="0092693B" w:rsidRDefault="002C2EC4" w:rsidP="009603EF">
      <w:r w:rsidRPr="0092693B">
        <w:t xml:space="preserve">A special model was developed for the adjustments. </w:t>
      </w:r>
      <w:r w:rsidR="00D85CFF">
        <w:t>T</w:t>
      </w:r>
      <w:r w:rsidR="0092693B">
        <w:t xml:space="preserve">aking into account considerations of diversity and representativity, the following data served as benchmarks for the calculation of </w:t>
      </w:r>
      <w:r w:rsidR="0092693B">
        <w:lastRenderedPageBreak/>
        <w:t>the conversion ratios: the 2013 survey in Colombia among people aged 12-65</w:t>
      </w:r>
      <w:r w:rsidR="0092693B">
        <w:rPr>
          <w:rStyle w:val="a4"/>
        </w:rPr>
        <w:footnoteReference w:id="4"/>
      </w:r>
      <w:r w:rsidR="0092693B">
        <w:t xml:space="preserve">, </w:t>
      </w:r>
      <w:r w:rsidR="0092693B" w:rsidRPr="009F393B">
        <w:t xml:space="preserve"> </w:t>
      </w:r>
      <w:r w:rsidR="0092693B">
        <w:t>the 2012 survey carried out in Pakistan jointly by UNODC and the Government of Pakistan targeting the population aged 15-64</w:t>
      </w:r>
      <w:r w:rsidR="0092693B">
        <w:rPr>
          <w:rStyle w:val="a4"/>
        </w:rPr>
        <w:footnoteReference w:id="5"/>
      </w:r>
      <w:r w:rsidR="0092693B">
        <w:t xml:space="preserve">  and the 2015 National Survey on Drug Use and Health of the United States among people aged 12 years and older</w:t>
      </w:r>
      <w:r w:rsidR="0092693B">
        <w:rPr>
          <w:rStyle w:val="a4"/>
        </w:rPr>
        <w:footnoteReference w:id="6"/>
      </w:r>
      <w:r w:rsidR="0092693B">
        <w:t xml:space="preserve">. After collating or generating prevalence data broken down by age groups, prevalence data were derived for each single-year age group. In cases where robust data were not available at this level of granularity (e.g. prevalence </w:t>
      </w:r>
      <w:r w:rsidR="007B32B7">
        <w:t xml:space="preserve">data </w:t>
      </w:r>
      <w:r w:rsidR="0092693B">
        <w:t xml:space="preserve">available </w:t>
      </w:r>
      <w:r w:rsidR="007B32B7">
        <w:t xml:space="preserve">only </w:t>
      </w:r>
      <w:r w:rsidR="0092693B">
        <w:t xml:space="preserve">for the age brackets 15-19, 20-24, 25-29, etc.), the prevalence in single-year age groups was estimated by optimizing for smoothness the prevalence data as a function of age - subject to the constraints that the total number of users within each given age bracket remained unchanged (i.e. equal to the prevalence multiplied by the population within the specific age bracket). Where necessary boundary conditions were imposed, e.g. a prevalence of 0 for ages 10 and below. On the basis of single-year prevalence estimates obtained, the prevalence </w:t>
      </w:r>
      <w:r w:rsidR="007B32B7">
        <w:t xml:space="preserve">rates </w:t>
      </w:r>
      <w:r w:rsidR="0092693B">
        <w:t>w</w:t>
      </w:r>
      <w:r w:rsidR="007B32B7">
        <w:t>ere</w:t>
      </w:r>
      <w:r w:rsidR="0092693B">
        <w:t xml:space="preserve"> </w:t>
      </w:r>
      <w:r w:rsidR="007B32B7">
        <w:t xml:space="preserve">estimated </w:t>
      </w:r>
      <w:r w:rsidR="0092693B">
        <w:t xml:space="preserve">for each </w:t>
      </w:r>
      <w:r w:rsidR="007B32B7">
        <w:t xml:space="preserve">possible </w:t>
      </w:r>
      <w:r w:rsidR="0092693B">
        <w:t xml:space="preserve">age group </w:t>
      </w:r>
      <w:r w:rsidR="007B32B7">
        <w:t xml:space="preserve">that </w:t>
      </w:r>
      <w:r w:rsidR="0092693B">
        <w:t>could potentially arise (e.g. 10-15, 12-19, 14-22). Finally, the conversion factors were calculated as the ratios of the prevalence data within the respective age groups as compared to the age groups of interest (</w:t>
      </w:r>
      <w:r w:rsidR="007B32B7">
        <w:t xml:space="preserve">age </w:t>
      </w:r>
      <w:r w:rsidR="0092693B">
        <w:t>15-16</w:t>
      </w:r>
      <w:r w:rsidR="007B32B7">
        <w:t xml:space="preserve"> years</w:t>
      </w:r>
      <w:r w:rsidR="0092693B">
        <w:t>).</w:t>
      </w:r>
      <w:r w:rsidRPr="0092693B">
        <w:t xml:space="preserve">   </w:t>
      </w:r>
    </w:p>
    <w:p w:rsidR="002C2EC4" w:rsidRPr="0092693B" w:rsidRDefault="002C2EC4" w:rsidP="00F16E68">
      <w:pPr>
        <w:numPr>
          <w:ilvl w:val="1"/>
          <w:numId w:val="16"/>
        </w:numPr>
      </w:pPr>
      <w:r w:rsidRPr="0092693B">
        <w:t xml:space="preserve">Extrapolating available life-time or past month data of cannabis use from individual countries to (missing) annual prevalence data based on a regression analysis of other countries in the subregion providing both life-time and annual data among youth or both past month and annual data among youth. A 95 per cent confidence interval was then used to calculate, in addition, a minimum and a maximum estimate based on such regression data.      </w:t>
      </w:r>
    </w:p>
    <w:p w:rsidR="002C2EC4" w:rsidRPr="0092693B" w:rsidRDefault="002C2EC4" w:rsidP="00F16E68">
      <w:pPr>
        <w:numPr>
          <w:ilvl w:val="0"/>
          <w:numId w:val="16"/>
        </w:numPr>
      </w:pPr>
      <w:r w:rsidRPr="0092693B">
        <w:lastRenderedPageBreak/>
        <w:t>For the remaining countries which did not report any prevalence data it was assumed that – on average – they had similar prevalence rates as the population weighted average of the reporting countries in the subregion. In case</w:t>
      </w:r>
      <w:r w:rsidR="00DF181D" w:rsidRPr="0092693B">
        <w:t>s whe</w:t>
      </w:r>
      <w:r w:rsidR="007B32B7">
        <w:t>re</w:t>
      </w:r>
      <w:r w:rsidRPr="0092693B">
        <w:t xml:space="preserve"> the reporting countries accounted for less than 20 per cent of the total population of the subregion, the (weighted) average of reporting countries in the region as a whole was used instead.      </w:t>
      </w:r>
    </w:p>
    <w:p w:rsidR="002C2EC4" w:rsidRPr="0092693B" w:rsidRDefault="002C2EC4" w:rsidP="00F16E68">
      <w:pPr>
        <w:numPr>
          <w:ilvl w:val="0"/>
          <w:numId w:val="16"/>
        </w:numPr>
      </w:pPr>
      <w:r w:rsidRPr="0092693B">
        <w:t>For countries not reporting any prevalence data it was assumed that the lower estimate was equivalent to the  (population weighted) 10</w:t>
      </w:r>
      <w:r w:rsidRPr="0092693B">
        <w:rPr>
          <w:vertAlign w:val="superscript"/>
        </w:rPr>
        <w:t>th</w:t>
      </w:r>
      <w:r w:rsidRPr="0092693B">
        <w:t xml:space="preserve"> percentile of the reporting countries in the subregion (or the region if reporting countries in the subregion accounted for less than 20 per cent of total population in the subregion) while the upper estimate was equivalent to the (population weighted) 90</w:t>
      </w:r>
      <w:r w:rsidRPr="0092693B">
        <w:rPr>
          <w:vertAlign w:val="superscript"/>
        </w:rPr>
        <w:t>th</w:t>
      </w:r>
      <w:r w:rsidRPr="0092693B">
        <w:t xml:space="preserve"> percentile of the reporting countries in the subregion (or the data for the region was used as a proxy if reporting countries in the subregion accounted for less than 20 per cent of the total population in the subregion).   </w:t>
      </w:r>
    </w:p>
    <w:p w:rsidR="002C2EC4" w:rsidRPr="0092693B" w:rsidRDefault="002C2EC4" w:rsidP="009603EF">
      <w:r w:rsidRPr="0092693B">
        <w:t xml:space="preserve">The reported </w:t>
      </w:r>
      <w:r w:rsidR="00DF181D" w:rsidRPr="0092693B">
        <w:t>ranges reflected</w:t>
      </w:r>
      <w:r w:rsidRPr="0092693B">
        <w:t xml:space="preserve"> primarily the coverage of a region by student surveys; in short, the larger the reported error margins, the less countries reported school survey data in a region or sub-region to UNODC. Error margins turned out to be small for Europe and the Americas where a majority of countries undertook such school surveys in recent years while they were rather large for Africa, Asia or for the Oceania region (with the exception of the economically advanced countries in this region). </w:t>
      </w:r>
    </w:p>
    <w:p w:rsidR="002C2EC4" w:rsidRPr="0092693B" w:rsidRDefault="002C2EC4" w:rsidP="00F16E68">
      <w:pPr>
        <w:numPr>
          <w:ilvl w:val="0"/>
          <w:numId w:val="16"/>
        </w:numPr>
      </w:pPr>
      <w:r w:rsidRPr="0092693B">
        <w:t xml:space="preserve">The totals of the calculated subregional estimates gave the regional estimates and the total of the regional estimates then gave the global estimates. </w:t>
      </w:r>
    </w:p>
    <w:p w:rsidR="00B27C8E" w:rsidRDefault="002C2EC4" w:rsidP="00F16E68">
      <w:pPr>
        <w:numPr>
          <w:ilvl w:val="0"/>
          <w:numId w:val="16"/>
        </w:numPr>
      </w:pPr>
      <w:r w:rsidRPr="0092693B">
        <w:t xml:space="preserve">The number of cannabis users was shown for a hypothetical average age of 15-16 years; in order to calculate the total number of cannabis users of those aged 15 years and 16 years the totals had to be still multiplied by two (in order to be in line with the approach used to show general population estimates for those aged 15-64)  </w:t>
      </w:r>
    </w:p>
    <w:p w:rsidR="000525FA" w:rsidRPr="00D662FD" w:rsidRDefault="000525FA" w:rsidP="00F16E68">
      <w:bookmarkStart w:id="56" w:name="_Toc517172921"/>
      <w:bookmarkStart w:id="57" w:name="_Toc517173015"/>
    </w:p>
    <w:p w:rsidR="0085735F" w:rsidRPr="00F16E68" w:rsidRDefault="00FA71AC" w:rsidP="00F16E68">
      <w:pPr>
        <w:pStyle w:val="3"/>
      </w:pPr>
      <w:bookmarkStart w:id="58" w:name="_Toc108702213"/>
      <w:r w:rsidRPr="00F16E68">
        <w:lastRenderedPageBreak/>
        <w:t>Estimated global cannabis use broken down by sex and age</w:t>
      </w:r>
      <w:bookmarkEnd w:id="58"/>
    </w:p>
    <w:p w:rsidR="00FA71AC" w:rsidRDefault="0025154D" w:rsidP="00F16E68">
      <w:r w:rsidRPr="00195696">
        <w:t>In 202</w:t>
      </w:r>
      <w:r w:rsidR="0074651C" w:rsidRPr="00195696">
        <w:t>2</w:t>
      </w:r>
      <w:r w:rsidRPr="00195696">
        <w:t xml:space="preserve"> World Drug Report, </w:t>
      </w:r>
      <w:r w:rsidR="0074651C" w:rsidRPr="00195696">
        <w:t xml:space="preserve">an analysis was provided for the first time, aimed at estimating the global breakdown of cannabis users by age and sex. </w:t>
      </w:r>
      <w:r w:rsidR="00363985">
        <w:t xml:space="preserve">This exercise was repeated for 2023. </w:t>
      </w:r>
      <w:r w:rsidR="0074651C" w:rsidRPr="00195696">
        <w:t>As a basis for these estimates, the global estimate</w:t>
      </w:r>
      <w:r w:rsidR="00086C88">
        <w:t>d</w:t>
      </w:r>
      <w:r w:rsidR="0074651C" w:rsidRPr="00195696">
        <w:t xml:space="preserve"> number of</w:t>
      </w:r>
      <w:r w:rsidR="00086C88">
        <w:t xml:space="preserve"> past-year</w:t>
      </w:r>
      <w:r w:rsidR="0074651C" w:rsidRPr="00195696">
        <w:t xml:space="preserve"> users of cannabis in the age group 15-64, as well as global prevalence of</w:t>
      </w:r>
      <w:r w:rsidR="00086C88">
        <w:t xml:space="preserve"> past-year</w:t>
      </w:r>
      <w:r w:rsidR="0074651C" w:rsidRPr="00195696">
        <w:t xml:space="preserve"> cannabis use among 15-64 year-olds and 15-16 year-olds, described above, was used.</w:t>
      </w:r>
      <w:r w:rsidR="00E22C8D">
        <w:t xml:space="preserve"> The starting point was thus the</w:t>
      </w:r>
      <w:r w:rsidR="00F0364D">
        <w:t xml:space="preserve"> latest</w:t>
      </w:r>
      <w:r w:rsidR="00E22C8D">
        <w:t xml:space="preserve"> global estimate of</w:t>
      </w:r>
      <w:r w:rsidR="00086C88">
        <w:t xml:space="preserve"> past-year</w:t>
      </w:r>
      <w:r w:rsidR="00E22C8D">
        <w:t xml:space="preserve"> cannabis users in the age 15-64. </w:t>
      </w:r>
      <w:r w:rsidR="00A97F98">
        <w:t>The following sequence of steps was taken:</w:t>
      </w:r>
    </w:p>
    <w:p w:rsidR="00A97F98" w:rsidRDefault="00A97F98" w:rsidP="00F16E68">
      <w:pPr>
        <w:numPr>
          <w:ilvl w:val="0"/>
          <w:numId w:val="27"/>
        </w:numPr>
      </w:pPr>
      <w:r>
        <w:t xml:space="preserve">These users were divided into males females based on an estimate of </w:t>
      </w:r>
      <w:r w:rsidR="00273002">
        <w:t>the percentage of</w:t>
      </w:r>
      <w:r w:rsidR="00086C88">
        <w:t xml:space="preserve"> women among past year cannabis users estimated previously based on the household survey data from 64 countries</w:t>
      </w:r>
      <w:r w:rsidR="00CE39FB">
        <w:t xml:space="preserve"> (see </w:t>
      </w:r>
      <w:r w:rsidR="00CD4ABC">
        <w:t>below</w:t>
      </w:r>
      <w:r w:rsidR="00CE39FB">
        <w:t>)</w:t>
      </w:r>
      <w:r w:rsidR="00086C88">
        <w:t>.</w:t>
      </w:r>
    </w:p>
    <w:p w:rsidR="001D1825" w:rsidRDefault="001D1825" w:rsidP="00F16E68">
      <w:pPr>
        <w:numPr>
          <w:ilvl w:val="0"/>
          <w:numId w:val="27"/>
        </w:numPr>
      </w:pPr>
      <w:r>
        <w:t xml:space="preserve">Further, the margin total for 15-16 year-olds was added on the basis of an estimate of prevalence of cannabis use among this age group globally and </w:t>
      </w:r>
      <w:r w:rsidR="00D05B4B">
        <w:t xml:space="preserve">the global population data from the World Population </w:t>
      </w:r>
      <w:r w:rsidR="000E51F9">
        <w:t>Prospects, United Nations Population Division</w:t>
      </w:r>
      <w:r w:rsidR="00D05B4B">
        <w:t xml:space="preserve">. </w:t>
      </w:r>
    </w:p>
    <w:p w:rsidR="007F0E57" w:rsidRDefault="007F0E57" w:rsidP="00F16E68">
      <w:pPr>
        <w:numPr>
          <w:ilvl w:val="0"/>
          <w:numId w:val="27"/>
        </w:numPr>
      </w:pPr>
      <w:r>
        <w:t>These were then subsequently subdivided into boys and girls based on a weighted average of proportions of girls among</w:t>
      </w:r>
      <w:r w:rsidR="00CD4ABC">
        <w:t xml:space="preserve"> past-year</w:t>
      </w:r>
      <w:r>
        <w:t xml:space="preserve"> cannabis users in subregions where data was available. In case of Europe, ESPAD </w:t>
      </w:r>
      <w:r w:rsidR="00480B43">
        <w:t xml:space="preserve">study-based </w:t>
      </w:r>
      <w:r>
        <w:t>propo</w:t>
      </w:r>
      <w:r w:rsidR="000D1F45">
        <w:t>rtion of girls</w:t>
      </w:r>
      <w:r w:rsidR="00480B43">
        <w:t xml:space="preserve"> among cannabis users (42%) was used. There were a handful of countries with available school surveys data in Africa and the Middle East and their proportion of girls was at a similar level</w:t>
      </w:r>
      <w:r w:rsidR="00CD4ABC">
        <w:t xml:space="preserve"> within these subregions</w:t>
      </w:r>
      <w:r w:rsidR="00480B43">
        <w:t>, thus their</w:t>
      </w:r>
      <w:r w:rsidR="00CD4ABC">
        <w:t xml:space="preserve"> weighted</w:t>
      </w:r>
      <w:r w:rsidR="00480B43">
        <w:t xml:space="preserve"> average was used for African region and the subregion of Middle East. </w:t>
      </w:r>
      <w:r w:rsidR="00D6570A">
        <w:t>North American studies had also reasonably similar proportions of girls among cannabis users</w:t>
      </w:r>
      <w:r w:rsidR="00FF2DF6">
        <w:t>. These proportions were then</w:t>
      </w:r>
      <w:r w:rsidR="00CD4ABC">
        <w:t xml:space="preserve"> averaged while</w:t>
      </w:r>
      <w:r w:rsidR="00FF2DF6">
        <w:t xml:space="preserve"> weighed by the</w:t>
      </w:r>
      <w:r w:rsidR="00CD4ABC">
        <w:t xml:space="preserve"> estimated</w:t>
      </w:r>
      <w:r w:rsidR="00FF2DF6">
        <w:t xml:space="preserve"> population of cannabis users living in each region or subregion (estimation procedure is detailed above). </w:t>
      </w:r>
    </w:p>
    <w:p w:rsidR="00A721DD" w:rsidRDefault="00162979" w:rsidP="00F16E68">
      <w:pPr>
        <w:numPr>
          <w:ilvl w:val="0"/>
          <w:numId w:val="27"/>
        </w:numPr>
      </w:pPr>
      <w:r>
        <w:t>The remaining male and female cannabis users aged 17-64 were then further subdivided</w:t>
      </w:r>
      <w:r w:rsidR="00E238F4">
        <w:t xml:space="preserve"> into more detailed age groups</w:t>
      </w:r>
      <w:r>
        <w:t xml:space="preserve"> according to age-related coefficients</w:t>
      </w:r>
      <w:r w:rsidR="00E238F4">
        <w:t xml:space="preserve">. </w:t>
      </w:r>
      <w:r w:rsidR="00B2787E">
        <w:t xml:space="preserve">These coefficients expressed how many times higher is the past-year prevalence of cannabis use among </w:t>
      </w:r>
      <w:r w:rsidR="002F6E6C">
        <w:t>the</w:t>
      </w:r>
      <w:r w:rsidR="00B2787E">
        <w:t xml:space="preserve"> group aged approximately 17-24 than</w:t>
      </w:r>
      <w:r w:rsidR="002F6E6C">
        <w:t xml:space="preserve"> among those aged</w:t>
      </w:r>
      <w:r w:rsidR="00B2787E">
        <w:t xml:space="preserve"> 15-64 and how many times higher is the prevalence among 25-34 than among those aged 15-64. </w:t>
      </w:r>
      <w:r w:rsidR="00B2787E">
        <w:lastRenderedPageBreak/>
        <w:t>The coefficients were</w:t>
      </w:r>
      <w:r w:rsidR="005E7D81">
        <w:t xml:space="preserve"> gender-specific (calculated separately for males and females),</w:t>
      </w:r>
      <w:r w:rsidR="00B2787E">
        <w:t xml:space="preserve"> determined as medians of </w:t>
      </w:r>
      <w:r w:rsidR="005E7D81">
        <w:t>numbers obtained from the data of 18 countries for the age group 17-24 and of 19 countries for the age group 25-34. This</w:t>
      </w:r>
      <w:r w:rsidR="002F6E6C">
        <w:t xml:space="preserve"> step</w:t>
      </w:r>
      <w:r w:rsidR="005E7D81">
        <w:t xml:space="preserve"> was performed after careful examination that there is not too much variation </w:t>
      </w:r>
      <w:r w:rsidR="00D134B9">
        <w:t>among the countries</w:t>
      </w:r>
      <w:r w:rsidR="0083278C">
        <w:t xml:space="preserve"> (see graphs below)</w:t>
      </w:r>
      <w:r w:rsidR="0010799A">
        <w:t>. The countries</w:t>
      </w:r>
      <w:r w:rsidR="0083278C">
        <w:t xml:space="preserve"> with available data</w:t>
      </w:r>
      <w:r w:rsidR="0010799A">
        <w:t xml:space="preserve"> were almost exclusively, with few exceptions from Western and Central Europe and from South and Central America</w:t>
      </w:r>
      <w:r w:rsidR="00D134B9">
        <w:t>. Tables and graphs below demonstrate the coefficients as well as their distribution in the available data.</w:t>
      </w:r>
    </w:p>
    <w:p w:rsidR="00FB030D" w:rsidRDefault="00FB030D" w:rsidP="00F16E68"/>
    <w:p w:rsidR="0099791B" w:rsidRDefault="0099791B" w:rsidP="00F16E68">
      <w:r>
        <w:t xml:space="preserve">Table. Coefficients of </w:t>
      </w:r>
      <w:r w:rsidR="007B52EC">
        <w:t xml:space="preserve">multiplication of cannabis use prevalence </w:t>
      </w:r>
      <w:r w:rsidR="004058E4">
        <w:t>among</w:t>
      </w:r>
      <w:r w:rsidR="007B52EC">
        <w:t xml:space="preserve"> young adults by gender</w:t>
      </w:r>
    </w:p>
    <w:tbl>
      <w:tblPr>
        <w:tblW w:w="7100" w:type="dxa"/>
        <w:jc w:val="center"/>
        <w:tblLook w:val="04A0"/>
      </w:tblPr>
      <w:tblGrid>
        <w:gridCol w:w="1720"/>
        <w:gridCol w:w="1510"/>
        <w:gridCol w:w="630"/>
        <w:gridCol w:w="1890"/>
        <w:gridCol w:w="1350"/>
      </w:tblGrid>
      <w:tr w:rsidR="009140DD" w:rsidTr="00147722">
        <w:trPr>
          <w:trHeight w:val="300"/>
          <w:jc w:val="center"/>
        </w:trPr>
        <w:tc>
          <w:tcPr>
            <w:tcW w:w="1720" w:type="dxa"/>
            <w:tcBorders>
              <w:top w:val="single" w:sz="8" w:space="0" w:color="auto"/>
              <w:left w:val="single" w:sz="8" w:space="0" w:color="auto"/>
              <w:bottom w:val="nil"/>
              <w:right w:val="single" w:sz="8" w:space="0" w:color="auto"/>
            </w:tcBorders>
            <w:shd w:val="clear" w:color="auto" w:fill="auto"/>
            <w:noWrap/>
            <w:vAlign w:val="bottom"/>
            <w:hideMark/>
          </w:tcPr>
          <w:p w:rsidR="009140DD" w:rsidRDefault="009140DD" w:rsidP="00F16E68">
            <w:pPr>
              <w:rPr>
                <w:lang w:eastAsia="en-GB"/>
              </w:rPr>
            </w:pPr>
            <w:r>
              <w:t>Coefficients for age group 17-24</w:t>
            </w:r>
          </w:p>
        </w:tc>
        <w:tc>
          <w:tcPr>
            <w:tcW w:w="1510" w:type="dxa"/>
            <w:tcBorders>
              <w:top w:val="nil"/>
              <w:left w:val="nil"/>
              <w:bottom w:val="nil"/>
              <w:right w:val="nil"/>
            </w:tcBorders>
            <w:shd w:val="clear" w:color="auto" w:fill="auto"/>
            <w:noWrap/>
            <w:vAlign w:val="bottom"/>
            <w:hideMark/>
          </w:tcPr>
          <w:p w:rsidR="009140DD" w:rsidRDefault="009140DD" w:rsidP="00F16E68"/>
        </w:tc>
        <w:tc>
          <w:tcPr>
            <w:tcW w:w="630" w:type="dxa"/>
            <w:tcBorders>
              <w:top w:val="nil"/>
              <w:left w:val="nil"/>
              <w:bottom w:val="nil"/>
              <w:right w:val="nil"/>
            </w:tcBorders>
            <w:shd w:val="clear" w:color="auto" w:fill="auto"/>
            <w:noWrap/>
            <w:vAlign w:val="bottom"/>
            <w:hideMark/>
          </w:tcPr>
          <w:p w:rsidR="009140DD" w:rsidRDefault="009140DD" w:rsidP="00F16E68"/>
        </w:tc>
        <w:tc>
          <w:tcPr>
            <w:tcW w:w="1890" w:type="dxa"/>
            <w:tcBorders>
              <w:top w:val="single" w:sz="8" w:space="0" w:color="auto"/>
              <w:left w:val="single" w:sz="8" w:space="0" w:color="auto"/>
              <w:bottom w:val="nil"/>
              <w:right w:val="single" w:sz="8" w:space="0" w:color="auto"/>
            </w:tcBorders>
            <w:shd w:val="clear" w:color="auto" w:fill="auto"/>
            <w:noWrap/>
            <w:vAlign w:val="bottom"/>
            <w:hideMark/>
          </w:tcPr>
          <w:p w:rsidR="009140DD" w:rsidRDefault="009140DD" w:rsidP="00F16E68">
            <w:r>
              <w:t>Coefficients for age group 25-34</w:t>
            </w:r>
          </w:p>
        </w:tc>
        <w:tc>
          <w:tcPr>
            <w:tcW w:w="1350" w:type="dxa"/>
            <w:tcBorders>
              <w:top w:val="nil"/>
              <w:left w:val="nil"/>
              <w:bottom w:val="nil"/>
              <w:right w:val="nil"/>
            </w:tcBorders>
            <w:shd w:val="clear" w:color="auto" w:fill="auto"/>
            <w:noWrap/>
            <w:vAlign w:val="bottom"/>
            <w:hideMark/>
          </w:tcPr>
          <w:p w:rsidR="009140DD" w:rsidRDefault="009140DD" w:rsidP="00F16E68"/>
        </w:tc>
      </w:tr>
      <w:tr w:rsidR="009140DD" w:rsidTr="00147722">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DD" w:rsidRDefault="009140DD" w:rsidP="00F16E68">
            <w:r>
              <w:t>Total</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9140DD" w:rsidRDefault="009140DD" w:rsidP="009603EF">
            <w:r>
              <w:t>2.3235</w:t>
            </w:r>
          </w:p>
        </w:tc>
        <w:tc>
          <w:tcPr>
            <w:tcW w:w="630" w:type="dxa"/>
            <w:tcBorders>
              <w:top w:val="nil"/>
              <w:left w:val="nil"/>
              <w:bottom w:val="nil"/>
              <w:right w:val="nil"/>
            </w:tcBorders>
            <w:shd w:val="clear" w:color="auto" w:fill="auto"/>
            <w:noWrap/>
            <w:vAlign w:val="bottom"/>
            <w:hideMark/>
          </w:tcPr>
          <w:p w:rsidR="009140DD" w:rsidRDefault="009140DD" w:rsidP="009603EF"/>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DD" w:rsidRDefault="009140DD" w:rsidP="00F16E68">
            <w:r>
              <w:t>Total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140DD" w:rsidRDefault="009140DD" w:rsidP="009603EF">
            <w:r>
              <w:t>1.64</w:t>
            </w:r>
            <w:r w:rsidR="007E1F08">
              <w:t>20</w:t>
            </w:r>
          </w:p>
        </w:tc>
      </w:tr>
      <w:tr w:rsidR="009140DD" w:rsidTr="00147722">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140DD" w:rsidRDefault="009140DD" w:rsidP="00F16E68">
            <w:r>
              <w:t>Males</w:t>
            </w:r>
          </w:p>
        </w:tc>
        <w:tc>
          <w:tcPr>
            <w:tcW w:w="1510" w:type="dxa"/>
            <w:tcBorders>
              <w:top w:val="nil"/>
              <w:left w:val="nil"/>
              <w:bottom w:val="single" w:sz="4" w:space="0" w:color="auto"/>
              <w:right w:val="single" w:sz="4" w:space="0" w:color="auto"/>
            </w:tcBorders>
            <w:shd w:val="clear" w:color="auto" w:fill="auto"/>
            <w:noWrap/>
            <w:vAlign w:val="bottom"/>
            <w:hideMark/>
          </w:tcPr>
          <w:p w:rsidR="009140DD" w:rsidRDefault="009140DD" w:rsidP="009603EF">
            <w:r>
              <w:t>2.145</w:t>
            </w:r>
            <w:r w:rsidR="007E1F08">
              <w:t>2</w:t>
            </w:r>
          </w:p>
        </w:tc>
        <w:tc>
          <w:tcPr>
            <w:tcW w:w="630" w:type="dxa"/>
            <w:tcBorders>
              <w:top w:val="nil"/>
              <w:left w:val="nil"/>
              <w:bottom w:val="nil"/>
              <w:right w:val="nil"/>
            </w:tcBorders>
            <w:shd w:val="clear" w:color="auto" w:fill="auto"/>
            <w:noWrap/>
            <w:vAlign w:val="bottom"/>
            <w:hideMark/>
          </w:tcPr>
          <w:p w:rsidR="009140DD" w:rsidRDefault="009140DD" w:rsidP="009603EF"/>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9140DD" w:rsidRDefault="009140DD" w:rsidP="00F16E68">
            <w:r>
              <w:t>Males</w:t>
            </w:r>
          </w:p>
        </w:tc>
        <w:tc>
          <w:tcPr>
            <w:tcW w:w="1350" w:type="dxa"/>
            <w:tcBorders>
              <w:top w:val="nil"/>
              <w:left w:val="nil"/>
              <w:bottom w:val="single" w:sz="4" w:space="0" w:color="auto"/>
              <w:right w:val="single" w:sz="4" w:space="0" w:color="auto"/>
            </w:tcBorders>
            <w:shd w:val="clear" w:color="auto" w:fill="auto"/>
            <w:noWrap/>
            <w:vAlign w:val="bottom"/>
            <w:hideMark/>
          </w:tcPr>
          <w:p w:rsidR="009140DD" w:rsidRDefault="009140DD" w:rsidP="009603EF">
            <w:r>
              <w:t>1.6575</w:t>
            </w:r>
          </w:p>
        </w:tc>
      </w:tr>
      <w:tr w:rsidR="009140DD" w:rsidTr="00147722">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140DD" w:rsidRDefault="009140DD" w:rsidP="00F16E68">
            <w:r>
              <w:t>Females</w:t>
            </w:r>
          </w:p>
        </w:tc>
        <w:tc>
          <w:tcPr>
            <w:tcW w:w="1510" w:type="dxa"/>
            <w:tcBorders>
              <w:top w:val="nil"/>
              <w:left w:val="nil"/>
              <w:bottom w:val="single" w:sz="4" w:space="0" w:color="auto"/>
              <w:right w:val="single" w:sz="4" w:space="0" w:color="auto"/>
            </w:tcBorders>
            <w:shd w:val="clear" w:color="auto" w:fill="auto"/>
            <w:noWrap/>
            <w:vAlign w:val="bottom"/>
            <w:hideMark/>
          </w:tcPr>
          <w:p w:rsidR="009140DD" w:rsidRDefault="009140DD" w:rsidP="009603EF">
            <w:r>
              <w:t>2.487</w:t>
            </w:r>
            <w:r w:rsidR="007E1F08">
              <w:t>3</w:t>
            </w:r>
          </w:p>
        </w:tc>
        <w:tc>
          <w:tcPr>
            <w:tcW w:w="630" w:type="dxa"/>
            <w:tcBorders>
              <w:top w:val="nil"/>
              <w:left w:val="nil"/>
              <w:bottom w:val="nil"/>
              <w:right w:val="nil"/>
            </w:tcBorders>
            <w:shd w:val="clear" w:color="auto" w:fill="auto"/>
            <w:noWrap/>
            <w:vAlign w:val="bottom"/>
            <w:hideMark/>
          </w:tcPr>
          <w:p w:rsidR="009140DD" w:rsidRDefault="009140DD" w:rsidP="009603EF"/>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9140DD" w:rsidRDefault="009140DD" w:rsidP="00F16E68">
            <w:r>
              <w:t>Females</w:t>
            </w:r>
          </w:p>
        </w:tc>
        <w:tc>
          <w:tcPr>
            <w:tcW w:w="1350" w:type="dxa"/>
            <w:tcBorders>
              <w:top w:val="nil"/>
              <w:left w:val="nil"/>
              <w:bottom w:val="single" w:sz="4" w:space="0" w:color="auto"/>
              <w:right w:val="single" w:sz="4" w:space="0" w:color="auto"/>
            </w:tcBorders>
            <w:shd w:val="clear" w:color="auto" w:fill="auto"/>
            <w:noWrap/>
            <w:vAlign w:val="bottom"/>
            <w:hideMark/>
          </w:tcPr>
          <w:p w:rsidR="009140DD" w:rsidRDefault="009140DD" w:rsidP="009603EF">
            <w:r>
              <w:t>1.5113</w:t>
            </w:r>
          </w:p>
        </w:tc>
      </w:tr>
    </w:tbl>
    <w:p w:rsidR="009140DD" w:rsidRPr="00195696" w:rsidRDefault="009140DD" w:rsidP="00F16E68"/>
    <w:p w:rsidR="007A4095" w:rsidRDefault="00165DE8" w:rsidP="00147722">
      <w:pPr>
        <w:jc w:val="center"/>
        <w:rPr>
          <w:lang w:eastAsia="en-GB"/>
        </w:rPr>
      </w:pPr>
      <w:r>
        <w:rPr>
          <w:noProof/>
          <w:lang w:val="en-US" w:eastAsia="zh-CN"/>
        </w:rPr>
        <w:drawing>
          <wp:inline distT="0" distB="0" distL="0" distR="0">
            <wp:extent cx="1333500" cy="1590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0" cy="1590675"/>
                    </a:xfrm>
                    <a:prstGeom prst="rect">
                      <a:avLst/>
                    </a:prstGeom>
                    <a:noFill/>
                    <a:ln>
                      <a:noFill/>
                    </a:ln>
                  </pic:spPr>
                </pic:pic>
              </a:graphicData>
            </a:graphic>
          </wp:inline>
        </w:drawing>
      </w:r>
      <w:r w:rsidR="00583C92" w:rsidRPr="00583C92">
        <w:t xml:space="preserve"> </w:t>
      </w:r>
      <w:r>
        <w:rPr>
          <w:noProof/>
          <w:lang w:val="en-US" w:eastAsia="zh-CN"/>
        </w:rPr>
        <w:drawing>
          <wp:inline distT="0" distB="0" distL="0" distR="0">
            <wp:extent cx="1524000" cy="158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1581150"/>
                    </a:xfrm>
                    <a:prstGeom prst="rect">
                      <a:avLst/>
                    </a:prstGeom>
                    <a:noFill/>
                    <a:ln>
                      <a:noFill/>
                    </a:ln>
                  </pic:spPr>
                </pic:pic>
              </a:graphicData>
            </a:graphic>
          </wp:inline>
        </w:drawing>
      </w:r>
      <w:r w:rsidR="007A4095" w:rsidRPr="007A4095">
        <w:t xml:space="preserve"> </w:t>
      </w:r>
      <w:r>
        <w:rPr>
          <w:noProof/>
          <w:lang w:val="en-US" w:eastAsia="zh-CN"/>
        </w:rPr>
        <w:drawing>
          <wp:inline distT="0" distB="0" distL="0" distR="0">
            <wp:extent cx="1219200" cy="1590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200" cy="1590675"/>
                    </a:xfrm>
                    <a:prstGeom prst="rect">
                      <a:avLst/>
                    </a:prstGeom>
                    <a:noFill/>
                    <a:ln>
                      <a:noFill/>
                    </a:ln>
                  </pic:spPr>
                </pic:pic>
              </a:graphicData>
            </a:graphic>
          </wp:inline>
        </w:drawing>
      </w:r>
    </w:p>
    <w:p w:rsidR="00375D76" w:rsidRDefault="00165DE8" w:rsidP="00147722">
      <w:pPr>
        <w:jc w:val="center"/>
        <w:rPr>
          <w:lang w:eastAsia="en-GB"/>
        </w:rPr>
      </w:pPr>
      <w:r>
        <w:rPr>
          <w:noProof/>
          <w:lang w:val="en-US" w:eastAsia="zh-CN"/>
        </w:rPr>
        <w:lastRenderedPageBreak/>
        <w:drawing>
          <wp:inline distT="0" distB="0" distL="0" distR="0">
            <wp:extent cx="1200150" cy="1990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1990725"/>
                    </a:xfrm>
                    <a:prstGeom prst="rect">
                      <a:avLst/>
                    </a:prstGeom>
                    <a:noFill/>
                    <a:ln>
                      <a:noFill/>
                    </a:ln>
                  </pic:spPr>
                </pic:pic>
              </a:graphicData>
            </a:graphic>
          </wp:inline>
        </w:drawing>
      </w:r>
      <w:r w:rsidR="00375D76" w:rsidRPr="00375D76">
        <w:t xml:space="preserve"> </w:t>
      </w:r>
      <w:r>
        <w:rPr>
          <w:noProof/>
          <w:lang w:val="en-US" w:eastAsia="zh-CN"/>
        </w:rPr>
        <w:drawing>
          <wp:inline distT="0" distB="0" distL="0" distR="0">
            <wp:extent cx="1066800" cy="2000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6800" cy="2000250"/>
                    </a:xfrm>
                    <a:prstGeom prst="rect">
                      <a:avLst/>
                    </a:prstGeom>
                    <a:noFill/>
                    <a:ln>
                      <a:noFill/>
                    </a:ln>
                  </pic:spPr>
                </pic:pic>
              </a:graphicData>
            </a:graphic>
          </wp:inline>
        </w:drawing>
      </w:r>
      <w:r w:rsidR="00375D76" w:rsidRPr="00375D76">
        <w:t xml:space="preserve"> </w:t>
      </w:r>
      <w:r>
        <w:rPr>
          <w:noProof/>
          <w:lang w:val="en-US" w:eastAsia="zh-CN"/>
        </w:rPr>
        <w:drawing>
          <wp:inline distT="0" distB="0" distL="0" distR="0">
            <wp:extent cx="1028700" cy="2019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2019300"/>
                    </a:xfrm>
                    <a:prstGeom prst="rect">
                      <a:avLst/>
                    </a:prstGeom>
                    <a:noFill/>
                    <a:ln>
                      <a:noFill/>
                    </a:ln>
                  </pic:spPr>
                </pic:pic>
              </a:graphicData>
            </a:graphic>
          </wp:inline>
        </w:drawing>
      </w:r>
    </w:p>
    <w:p w:rsidR="00375D76" w:rsidRDefault="00375D76" w:rsidP="00F16E68">
      <w:pPr>
        <w:rPr>
          <w:lang w:eastAsia="en-GB"/>
        </w:rPr>
      </w:pPr>
    </w:p>
    <w:p w:rsidR="00375D76" w:rsidRDefault="005F053E" w:rsidP="00F16E68">
      <w:pPr>
        <w:numPr>
          <w:ilvl w:val="0"/>
          <w:numId w:val="27"/>
        </w:numPr>
        <w:rPr>
          <w:lang w:eastAsia="en-GB"/>
        </w:rPr>
      </w:pPr>
      <w:r>
        <w:rPr>
          <w:lang w:eastAsia="en-GB"/>
        </w:rPr>
        <w:t>Applying these coefficients on</w:t>
      </w:r>
      <w:r w:rsidR="00A36B3C">
        <w:rPr>
          <w:lang w:eastAsia="en-GB"/>
        </w:rPr>
        <w:t xml:space="preserve"> the</w:t>
      </w:r>
      <w:r>
        <w:rPr>
          <w:lang w:eastAsia="en-GB"/>
        </w:rPr>
        <w:t xml:space="preserve"> global prevalence of cannabis use by gender and the global population size in each age group by sex</w:t>
      </w:r>
      <w:r w:rsidR="00375D76">
        <w:rPr>
          <w:lang w:eastAsia="en-GB"/>
        </w:rPr>
        <w:t xml:space="preserve"> has led to estimates </w:t>
      </w:r>
      <w:r>
        <w:rPr>
          <w:lang w:eastAsia="en-GB"/>
        </w:rPr>
        <w:t>of male cannabis users in the age group 17-24 and females in the same age group</w:t>
      </w:r>
      <w:r w:rsidR="003C06AA">
        <w:rPr>
          <w:lang w:eastAsia="en-GB"/>
        </w:rPr>
        <w:t>, as well as</w:t>
      </w:r>
      <w:r w:rsidR="00E7637F">
        <w:rPr>
          <w:lang w:eastAsia="en-GB"/>
        </w:rPr>
        <w:t xml:space="preserve"> males and femalesusing cannabis in the past year in the age group 25 to 34 years.</w:t>
      </w:r>
    </w:p>
    <w:p w:rsidR="00E7637F" w:rsidRDefault="00E7637F" w:rsidP="00F16E68">
      <w:pPr>
        <w:numPr>
          <w:ilvl w:val="0"/>
          <w:numId w:val="27"/>
        </w:numPr>
        <w:rPr>
          <w:lang w:eastAsia="en-GB"/>
        </w:rPr>
      </w:pPr>
      <w:r>
        <w:rPr>
          <w:lang w:eastAsia="en-GB"/>
        </w:rPr>
        <w:t>Adding up the estimates by gender and subtracting them from the estimate of men and women cannabis users in the age group 17-64 mentioned under step 4 then lead to the estimates for the remaining age group.</w:t>
      </w:r>
    </w:p>
    <w:p w:rsidR="00583C92" w:rsidRDefault="00EB69C8" w:rsidP="00F16E68">
      <w:pPr>
        <w:rPr>
          <w:lang w:eastAsia="en-GB"/>
        </w:rPr>
      </w:pPr>
      <w:r>
        <w:rPr>
          <w:lang w:eastAsia="en-GB"/>
        </w:rPr>
        <w:t>Despite the fact that the distribution of age groups in which cannabis use is higher than among the general population is almost universally similar</w:t>
      </w:r>
      <w:r>
        <w:rPr>
          <w:rStyle w:val="a4"/>
          <w:lang w:eastAsia="en-GB"/>
        </w:rPr>
        <w:footnoteReference w:id="7"/>
      </w:r>
      <w:r>
        <w:rPr>
          <w:lang w:eastAsia="en-GB"/>
        </w:rPr>
        <w:t xml:space="preserve">, and the same applies to sex to a large extent, there are limitations of the approach taken. </w:t>
      </w:r>
      <w:r w:rsidR="00A7102F">
        <w:rPr>
          <w:lang w:eastAsia="en-GB"/>
        </w:rPr>
        <w:t>Foremost, w</w:t>
      </w:r>
      <w:r>
        <w:rPr>
          <w:lang w:eastAsia="en-GB"/>
        </w:rPr>
        <w:t>hile sex distribution was obtained as a population-weighted average of data from 64 diverse countries of the world, some subregions were less represented than others (in particular the entire African region</w:t>
      </w:r>
      <w:r w:rsidR="003012B3">
        <w:rPr>
          <w:lang w:eastAsia="en-GB"/>
        </w:rPr>
        <w:t xml:space="preserve">). This is even more true about the age distribution which was based on data from 18 - 19 countries, most of which were from subregions of Western and Central Europe and South and Central America. </w:t>
      </w:r>
      <w:r w:rsidR="00271DF9">
        <w:rPr>
          <w:lang w:eastAsia="en-GB"/>
        </w:rPr>
        <w:t xml:space="preserve">Therefore, there may be differences in the exact age distribution of cannabis use among subregions, which may have led to lack of precision of the present </w:t>
      </w:r>
      <w:r w:rsidR="00271DF9">
        <w:rPr>
          <w:lang w:eastAsia="en-GB"/>
        </w:rPr>
        <w:lastRenderedPageBreak/>
        <w:t>estimated distribution of cannabis use by sex and age. Therefore this first estimate of cannabis use prevalence by sex and age needs to be interpreted with caution.</w:t>
      </w:r>
      <w:r w:rsidR="00DA7B4C">
        <w:rPr>
          <w:lang w:eastAsia="en-GB"/>
        </w:rPr>
        <w:t xml:space="preserve"> Further improvements of the used methodology are likely possible.</w:t>
      </w:r>
    </w:p>
    <w:p w:rsidR="00583C92" w:rsidRDefault="00583C92" w:rsidP="00F16E68">
      <w:pPr>
        <w:rPr>
          <w:lang w:eastAsia="en-GB"/>
        </w:rPr>
      </w:pPr>
    </w:p>
    <w:p w:rsidR="0091786A" w:rsidRPr="00F16E68" w:rsidRDefault="00071FDA" w:rsidP="00F16E68">
      <w:pPr>
        <w:pStyle w:val="3"/>
      </w:pPr>
      <w:bookmarkStart w:id="59" w:name="_Toc108702214"/>
      <w:r w:rsidRPr="00F16E68">
        <w:t>Estimate</w:t>
      </w:r>
      <w:r w:rsidR="00EC4641" w:rsidRPr="00F16E68">
        <w:t>s of the proportion</w:t>
      </w:r>
      <w:r w:rsidR="0091786A" w:rsidRPr="00F16E68">
        <w:t xml:space="preserve"> of male and female users of cannabis by region and</w:t>
      </w:r>
      <w:r w:rsidR="00617C04" w:rsidRPr="00F16E68">
        <w:t xml:space="preserve"> of male and female users by</w:t>
      </w:r>
      <w:r w:rsidR="0091786A" w:rsidRPr="00F16E68">
        <w:t xml:space="preserve"> drug</w:t>
      </w:r>
      <w:bookmarkEnd w:id="59"/>
    </w:p>
    <w:p w:rsidR="0091786A" w:rsidRDefault="003E55A1" w:rsidP="00F16E68">
      <w:r>
        <w:t xml:space="preserve">It is important to mention that the estimates of the proportions of males and females among cannabis users by region and the estimates of the proportions of males and females among users of selected drug groups </w:t>
      </w:r>
      <w:r w:rsidR="009153A7">
        <w:t xml:space="preserve">cannot be considered global estimates. Unfortunately, for most drugs and subregions, data is too scarce </w:t>
      </w:r>
      <w:r w:rsidR="00FB0BA7">
        <w:t>to</w:t>
      </w:r>
      <w:r w:rsidR="009153A7">
        <w:t xml:space="preserve"> provide representative estimates of gender breakdown of drug users.</w:t>
      </w:r>
    </w:p>
    <w:p w:rsidR="00D2076C" w:rsidRDefault="009153A7" w:rsidP="00F16E68">
      <w:r>
        <w:t xml:space="preserve">Instead, the presented estimates are pooled estimates based on the </w:t>
      </w:r>
      <w:r w:rsidR="00265E26">
        <w:t>results</w:t>
      </w:r>
      <w:r w:rsidR="004A3D27">
        <w:t xml:space="preserve"> of</w:t>
      </w:r>
      <w:r>
        <w:t xml:space="preserve"> household surveys (or indirect estimates in </w:t>
      </w:r>
      <w:r w:rsidR="004A3D27">
        <w:t xml:space="preserve">the </w:t>
      </w:r>
      <w:r>
        <w:t>case of</w:t>
      </w:r>
      <w:r w:rsidR="004A3D27">
        <w:t xml:space="preserve"> some countries reporting</w:t>
      </w:r>
      <w:r>
        <w:t xml:space="preserve"> opioid use) conducted in the countries</w:t>
      </w:r>
      <w:r w:rsidR="00265E26">
        <w:t xml:space="preserve"> and reported mostly by means of the annual report questionnaire.</w:t>
      </w:r>
      <w:r w:rsidR="00D2076C">
        <w:t xml:space="preserve"> All estimates are calculated only on the basis of countries which were able to provide gender-specific estimates of prevalence of use in the past year.</w:t>
      </w:r>
      <w:r w:rsidR="004D6846">
        <w:t xml:space="preserve"> </w:t>
      </w:r>
      <w:r w:rsidR="00D2076C">
        <w:t>The estimate for region or drug is weighted by the population size of the respective countries with available household survey results assuming male and female population of equal size (assuming that 50% of population aged 15-64 are men and 50% are women).</w:t>
      </w:r>
    </w:p>
    <w:p w:rsidR="00D2076C" w:rsidRDefault="00D2076C" w:rsidP="00F16E68">
      <w:r>
        <w:t>The numbers of countries per subregion or drug</w:t>
      </w:r>
      <w:r w:rsidR="00AF7247">
        <w:t xml:space="preserve"> group</w:t>
      </w:r>
      <w:r>
        <w:t xml:space="preserve"> varied widely, as it can be seen from the tables below.</w:t>
      </w:r>
      <w:r w:rsidR="00FA7251">
        <w:t xml:space="preserve"> Therefore, the results obtained need to be interpreted with caution, as they may not be representative of the entire subregion or drug group.</w:t>
      </w:r>
      <w:r w:rsidR="004D6846">
        <w:t xml:space="preserve"> In particular, no (sub)region-weighting was applied to obtain estimates by drug group which may have led to overrepresentation of women due to higher availability of household surveys results in the subregions with higher proportion of women who used a substance in the past year.</w:t>
      </w:r>
    </w:p>
    <w:p w:rsidR="00D2076C" w:rsidRDefault="00D2076C" w:rsidP="00F16E68"/>
    <w:p w:rsidR="00D2076C" w:rsidRDefault="00D2076C" w:rsidP="00F16E68">
      <w:r>
        <w:t>Table. Number of countries included in the estimate of proportions of males and females among past-year cannabis users per region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9"/>
        <w:gridCol w:w="5262"/>
      </w:tblGrid>
      <w:tr w:rsidR="0087694F" w:rsidTr="00CC6C25">
        <w:tc>
          <w:tcPr>
            <w:tcW w:w="0" w:type="auto"/>
            <w:shd w:val="clear" w:color="auto" w:fill="auto"/>
          </w:tcPr>
          <w:p w:rsidR="0087694F" w:rsidRPr="00CC6C25" w:rsidRDefault="0087694F" w:rsidP="00F16E68">
            <w:r w:rsidRPr="00CC6C25">
              <w:lastRenderedPageBreak/>
              <w:t>Subregion</w:t>
            </w:r>
          </w:p>
        </w:tc>
        <w:tc>
          <w:tcPr>
            <w:tcW w:w="0" w:type="auto"/>
            <w:shd w:val="clear" w:color="auto" w:fill="auto"/>
          </w:tcPr>
          <w:p w:rsidR="0087694F" w:rsidRPr="00CC6C25" w:rsidRDefault="0087694F" w:rsidP="00F16E68">
            <w:r w:rsidRPr="00CC6C25">
              <w:t>Number of countries included in the pooled estimate</w:t>
            </w:r>
          </w:p>
        </w:tc>
      </w:tr>
      <w:tr w:rsidR="0087694F" w:rsidTr="00CC6C25">
        <w:tc>
          <w:tcPr>
            <w:tcW w:w="0" w:type="auto"/>
            <w:shd w:val="clear" w:color="auto" w:fill="auto"/>
          </w:tcPr>
          <w:p w:rsidR="0087694F" w:rsidRPr="00CC6C25" w:rsidRDefault="0087694F" w:rsidP="00F16E68">
            <w:r w:rsidRPr="00CC6C25">
              <w:t>Africa</w:t>
            </w:r>
          </w:p>
        </w:tc>
        <w:tc>
          <w:tcPr>
            <w:tcW w:w="0" w:type="auto"/>
            <w:shd w:val="clear" w:color="auto" w:fill="auto"/>
          </w:tcPr>
          <w:p w:rsidR="0087694F" w:rsidRPr="00CC6C25" w:rsidRDefault="00FA7251" w:rsidP="00F16E68">
            <w:r w:rsidRPr="00CC6C25">
              <w:t>3</w:t>
            </w:r>
          </w:p>
        </w:tc>
      </w:tr>
      <w:tr w:rsidR="0087694F" w:rsidTr="00CC6C25">
        <w:tc>
          <w:tcPr>
            <w:tcW w:w="0" w:type="auto"/>
            <w:shd w:val="clear" w:color="auto" w:fill="auto"/>
          </w:tcPr>
          <w:p w:rsidR="0087694F" w:rsidRPr="00CC6C25" w:rsidRDefault="0087694F" w:rsidP="00F16E68">
            <w:r w:rsidRPr="00CC6C25">
              <w:t>Asia</w:t>
            </w:r>
          </w:p>
        </w:tc>
        <w:tc>
          <w:tcPr>
            <w:tcW w:w="0" w:type="auto"/>
            <w:shd w:val="clear" w:color="auto" w:fill="auto"/>
          </w:tcPr>
          <w:p w:rsidR="0087694F" w:rsidRPr="00CC6C25" w:rsidRDefault="00BA71E2" w:rsidP="00F16E68">
            <w:r w:rsidRPr="00CC6C25">
              <w:t>6</w:t>
            </w:r>
          </w:p>
        </w:tc>
      </w:tr>
      <w:tr w:rsidR="0087694F" w:rsidTr="00CC6C25">
        <w:tc>
          <w:tcPr>
            <w:tcW w:w="0" w:type="auto"/>
            <w:shd w:val="clear" w:color="auto" w:fill="auto"/>
          </w:tcPr>
          <w:p w:rsidR="0087694F" w:rsidRPr="00CC6C25" w:rsidRDefault="0087694F" w:rsidP="00F16E68">
            <w:r w:rsidRPr="00CC6C25">
              <w:t>Australia and New Zealand</w:t>
            </w:r>
          </w:p>
        </w:tc>
        <w:tc>
          <w:tcPr>
            <w:tcW w:w="0" w:type="auto"/>
            <w:shd w:val="clear" w:color="auto" w:fill="auto"/>
          </w:tcPr>
          <w:p w:rsidR="0087694F" w:rsidRPr="00CC6C25" w:rsidRDefault="00BA71E2" w:rsidP="00F16E68">
            <w:r w:rsidRPr="00CC6C25">
              <w:t>2</w:t>
            </w:r>
          </w:p>
        </w:tc>
      </w:tr>
      <w:tr w:rsidR="0087694F" w:rsidTr="00CC6C25">
        <w:tc>
          <w:tcPr>
            <w:tcW w:w="0" w:type="auto"/>
            <w:shd w:val="clear" w:color="auto" w:fill="auto"/>
          </w:tcPr>
          <w:p w:rsidR="0087694F" w:rsidRPr="00CC6C25" w:rsidRDefault="0087694F" w:rsidP="00F16E68">
            <w:r w:rsidRPr="00CC6C25">
              <w:t>Caribbean</w:t>
            </w:r>
          </w:p>
        </w:tc>
        <w:tc>
          <w:tcPr>
            <w:tcW w:w="0" w:type="auto"/>
            <w:shd w:val="clear" w:color="auto" w:fill="auto"/>
          </w:tcPr>
          <w:p w:rsidR="0087694F" w:rsidRPr="00CC6C25" w:rsidRDefault="00BA71E2" w:rsidP="00F16E68">
            <w:r w:rsidRPr="00CC6C25">
              <w:t>3</w:t>
            </w:r>
          </w:p>
        </w:tc>
      </w:tr>
      <w:tr w:rsidR="0087694F" w:rsidTr="00CC6C25">
        <w:tc>
          <w:tcPr>
            <w:tcW w:w="0" w:type="auto"/>
            <w:shd w:val="clear" w:color="auto" w:fill="auto"/>
          </w:tcPr>
          <w:p w:rsidR="0087694F" w:rsidRPr="00CC6C25" w:rsidRDefault="0087694F" w:rsidP="00F16E68">
            <w:r w:rsidRPr="00CC6C25">
              <w:t>Central America</w:t>
            </w:r>
          </w:p>
        </w:tc>
        <w:tc>
          <w:tcPr>
            <w:tcW w:w="0" w:type="auto"/>
            <w:shd w:val="clear" w:color="auto" w:fill="auto"/>
          </w:tcPr>
          <w:p w:rsidR="0087694F" w:rsidRPr="00CC6C25" w:rsidRDefault="00BA71E2" w:rsidP="00F16E68">
            <w:r w:rsidRPr="00CC6C25">
              <w:t>3</w:t>
            </w:r>
          </w:p>
        </w:tc>
      </w:tr>
      <w:tr w:rsidR="0087694F" w:rsidTr="00CC6C25">
        <w:tc>
          <w:tcPr>
            <w:tcW w:w="0" w:type="auto"/>
            <w:shd w:val="clear" w:color="auto" w:fill="auto"/>
          </w:tcPr>
          <w:p w:rsidR="0087694F" w:rsidRPr="00CC6C25" w:rsidRDefault="0087694F" w:rsidP="00F16E68">
            <w:r w:rsidRPr="00CC6C25">
              <w:t>South America</w:t>
            </w:r>
          </w:p>
        </w:tc>
        <w:tc>
          <w:tcPr>
            <w:tcW w:w="0" w:type="auto"/>
            <w:shd w:val="clear" w:color="auto" w:fill="auto"/>
          </w:tcPr>
          <w:p w:rsidR="0087694F" w:rsidRPr="00CC6C25" w:rsidRDefault="00BA71E2" w:rsidP="00F16E68">
            <w:r w:rsidRPr="00CC6C25">
              <w:t>7</w:t>
            </w:r>
          </w:p>
        </w:tc>
      </w:tr>
      <w:tr w:rsidR="0087694F" w:rsidTr="00CC6C25">
        <w:tc>
          <w:tcPr>
            <w:tcW w:w="0" w:type="auto"/>
            <w:shd w:val="clear" w:color="auto" w:fill="auto"/>
          </w:tcPr>
          <w:p w:rsidR="0087694F" w:rsidRPr="00CC6C25" w:rsidRDefault="0087694F" w:rsidP="00F16E68">
            <w:r w:rsidRPr="00CC6C25">
              <w:t>South-East Europe</w:t>
            </w:r>
          </w:p>
        </w:tc>
        <w:tc>
          <w:tcPr>
            <w:tcW w:w="0" w:type="auto"/>
            <w:shd w:val="clear" w:color="auto" w:fill="auto"/>
          </w:tcPr>
          <w:p w:rsidR="0087694F" w:rsidRPr="00CC6C25" w:rsidRDefault="00BA71E2" w:rsidP="00F16E68">
            <w:r w:rsidRPr="00CC6C25">
              <w:t>8</w:t>
            </w:r>
          </w:p>
        </w:tc>
      </w:tr>
      <w:tr w:rsidR="001F72C3" w:rsidTr="00CC6C25">
        <w:tc>
          <w:tcPr>
            <w:tcW w:w="0" w:type="auto"/>
            <w:shd w:val="clear" w:color="auto" w:fill="auto"/>
          </w:tcPr>
          <w:p w:rsidR="001F72C3" w:rsidRPr="00CC6C25" w:rsidRDefault="001F72C3" w:rsidP="00F16E68">
            <w:r w:rsidRPr="00CC6C25">
              <w:t>North America</w:t>
            </w:r>
          </w:p>
        </w:tc>
        <w:tc>
          <w:tcPr>
            <w:tcW w:w="0" w:type="auto"/>
            <w:shd w:val="clear" w:color="auto" w:fill="auto"/>
          </w:tcPr>
          <w:p w:rsidR="001F72C3" w:rsidRPr="00CC6C25" w:rsidRDefault="00BA71E2" w:rsidP="00F16E68">
            <w:r w:rsidRPr="00CC6C25">
              <w:t>3</w:t>
            </w:r>
          </w:p>
        </w:tc>
      </w:tr>
      <w:tr w:rsidR="001F72C3" w:rsidTr="00CC6C25">
        <w:tc>
          <w:tcPr>
            <w:tcW w:w="0" w:type="auto"/>
            <w:shd w:val="clear" w:color="auto" w:fill="auto"/>
          </w:tcPr>
          <w:p w:rsidR="001F72C3" w:rsidRPr="00CC6C25" w:rsidRDefault="001F72C3" w:rsidP="00F16E68">
            <w:r w:rsidRPr="00CC6C25">
              <w:t>West and Central Europe</w:t>
            </w:r>
          </w:p>
        </w:tc>
        <w:tc>
          <w:tcPr>
            <w:tcW w:w="0" w:type="auto"/>
            <w:shd w:val="clear" w:color="auto" w:fill="auto"/>
          </w:tcPr>
          <w:p w:rsidR="001F72C3" w:rsidRPr="00CC6C25" w:rsidRDefault="002B27A9" w:rsidP="00F16E68">
            <w:r w:rsidRPr="00CC6C25">
              <w:t>27</w:t>
            </w:r>
          </w:p>
        </w:tc>
      </w:tr>
    </w:tbl>
    <w:p w:rsidR="00C8446F" w:rsidRDefault="00D2076C" w:rsidP="00650439">
      <w:r>
        <w:t xml:space="preserve"> </w:t>
      </w:r>
    </w:p>
    <w:p w:rsidR="00BB09D1" w:rsidRDefault="00BB09D1" w:rsidP="009603EF"/>
    <w:p w:rsidR="00BB09D1" w:rsidRDefault="00EC4641" w:rsidP="00F16E68">
      <w:r w:rsidRPr="0091786A">
        <w:t xml:space="preserve"> </w:t>
      </w:r>
      <w:r w:rsidR="00BB09D1">
        <w:t>Table. Number of countries included in the estimate of proportions of males and females among past-year users of each drug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6"/>
        <w:gridCol w:w="4837"/>
      </w:tblGrid>
      <w:tr w:rsidR="00007653" w:rsidTr="00CC6C25">
        <w:tc>
          <w:tcPr>
            <w:tcW w:w="0" w:type="auto"/>
            <w:shd w:val="clear" w:color="auto" w:fill="auto"/>
          </w:tcPr>
          <w:p w:rsidR="001105FD" w:rsidRPr="00CC6C25" w:rsidRDefault="001105FD" w:rsidP="00F16E68">
            <w:r w:rsidRPr="00CC6C25">
              <w:t>Drug group</w:t>
            </w:r>
          </w:p>
        </w:tc>
        <w:tc>
          <w:tcPr>
            <w:tcW w:w="0" w:type="auto"/>
            <w:shd w:val="clear" w:color="auto" w:fill="auto"/>
          </w:tcPr>
          <w:p w:rsidR="001105FD" w:rsidRPr="00CC6C25" w:rsidRDefault="001105FD" w:rsidP="00F16E68">
            <w:r w:rsidRPr="00CC6C25">
              <w:t>Number of countries included in the pooled estimate</w:t>
            </w:r>
          </w:p>
        </w:tc>
      </w:tr>
      <w:tr w:rsidR="00007653" w:rsidTr="00CC6C25">
        <w:tc>
          <w:tcPr>
            <w:tcW w:w="0" w:type="auto"/>
            <w:shd w:val="clear" w:color="auto" w:fill="auto"/>
          </w:tcPr>
          <w:p w:rsidR="001105FD" w:rsidRPr="00CC6C25" w:rsidRDefault="00007653" w:rsidP="00F16E68">
            <w:r w:rsidRPr="00CC6C25">
              <w:t>Opioids</w:t>
            </w:r>
          </w:p>
        </w:tc>
        <w:tc>
          <w:tcPr>
            <w:tcW w:w="0" w:type="auto"/>
            <w:shd w:val="clear" w:color="auto" w:fill="auto"/>
          </w:tcPr>
          <w:p w:rsidR="001105FD" w:rsidRPr="00CC6C25" w:rsidRDefault="00E12E99" w:rsidP="00F16E68">
            <w:r w:rsidRPr="00CC6C25">
              <w:t>26</w:t>
            </w:r>
          </w:p>
        </w:tc>
      </w:tr>
      <w:tr w:rsidR="00007653" w:rsidTr="00CC6C25">
        <w:tc>
          <w:tcPr>
            <w:tcW w:w="0" w:type="auto"/>
            <w:shd w:val="clear" w:color="auto" w:fill="auto"/>
          </w:tcPr>
          <w:p w:rsidR="001105FD" w:rsidRPr="00CC6C25" w:rsidRDefault="00007653" w:rsidP="00F16E68">
            <w:r w:rsidRPr="00CC6C25">
              <w:t>Cocaine</w:t>
            </w:r>
          </w:p>
        </w:tc>
        <w:tc>
          <w:tcPr>
            <w:tcW w:w="0" w:type="auto"/>
            <w:shd w:val="clear" w:color="auto" w:fill="auto"/>
          </w:tcPr>
          <w:p w:rsidR="001105FD" w:rsidRPr="00CC6C25" w:rsidRDefault="00E12E99" w:rsidP="00F16E68">
            <w:r w:rsidRPr="00CC6C25">
              <w:t>53</w:t>
            </w:r>
          </w:p>
        </w:tc>
      </w:tr>
      <w:tr w:rsidR="00007653" w:rsidTr="00CC6C25">
        <w:tc>
          <w:tcPr>
            <w:tcW w:w="0" w:type="auto"/>
            <w:shd w:val="clear" w:color="auto" w:fill="auto"/>
          </w:tcPr>
          <w:p w:rsidR="001105FD" w:rsidRPr="00CC6C25" w:rsidRDefault="00007653" w:rsidP="00F16E68">
            <w:r w:rsidRPr="00CC6C25">
              <w:t>Cannabis</w:t>
            </w:r>
          </w:p>
        </w:tc>
        <w:tc>
          <w:tcPr>
            <w:tcW w:w="0" w:type="auto"/>
            <w:shd w:val="clear" w:color="auto" w:fill="auto"/>
          </w:tcPr>
          <w:p w:rsidR="001105FD" w:rsidRPr="00CC6C25" w:rsidRDefault="00E12E99" w:rsidP="00F16E68">
            <w:r w:rsidRPr="00CC6C25">
              <w:t>64</w:t>
            </w:r>
          </w:p>
        </w:tc>
      </w:tr>
      <w:tr w:rsidR="00007653" w:rsidTr="00CC6C25">
        <w:tc>
          <w:tcPr>
            <w:tcW w:w="0" w:type="auto"/>
            <w:shd w:val="clear" w:color="auto" w:fill="auto"/>
          </w:tcPr>
          <w:p w:rsidR="001105FD" w:rsidRPr="00CC6C25" w:rsidRDefault="00007653" w:rsidP="00F16E68">
            <w:r w:rsidRPr="00CC6C25">
              <w:t>New psychoactive substances</w:t>
            </w:r>
          </w:p>
        </w:tc>
        <w:tc>
          <w:tcPr>
            <w:tcW w:w="0" w:type="auto"/>
            <w:shd w:val="clear" w:color="auto" w:fill="auto"/>
          </w:tcPr>
          <w:p w:rsidR="001105FD" w:rsidRPr="00CC6C25" w:rsidRDefault="00350E3A" w:rsidP="00F16E68">
            <w:r w:rsidRPr="00CC6C25">
              <w:t>31</w:t>
            </w:r>
          </w:p>
        </w:tc>
      </w:tr>
      <w:tr w:rsidR="00007653" w:rsidTr="00CC6C25">
        <w:tc>
          <w:tcPr>
            <w:tcW w:w="0" w:type="auto"/>
            <w:shd w:val="clear" w:color="auto" w:fill="auto"/>
          </w:tcPr>
          <w:p w:rsidR="001105FD" w:rsidRPr="00CC6C25" w:rsidRDefault="00007653" w:rsidP="00F16E68">
            <w:r w:rsidRPr="00CC6C25">
              <w:t>“Ecstasy”-type substances</w:t>
            </w:r>
          </w:p>
        </w:tc>
        <w:tc>
          <w:tcPr>
            <w:tcW w:w="0" w:type="auto"/>
            <w:shd w:val="clear" w:color="auto" w:fill="auto"/>
          </w:tcPr>
          <w:p w:rsidR="001105FD" w:rsidRPr="00CC6C25" w:rsidRDefault="00350E3A" w:rsidP="00F16E68">
            <w:r w:rsidRPr="00CC6C25">
              <w:t>50</w:t>
            </w:r>
          </w:p>
        </w:tc>
      </w:tr>
      <w:tr w:rsidR="00007653" w:rsidTr="00CC6C25">
        <w:tc>
          <w:tcPr>
            <w:tcW w:w="0" w:type="auto"/>
            <w:shd w:val="clear" w:color="auto" w:fill="auto"/>
          </w:tcPr>
          <w:p w:rsidR="001105FD" w:rsidRPr="00CC6C25" w:rsidRDefault="00007653" w:rsidP="00F16E68">
            <w:r w:rsidRPr="00CC6C25">
              <w:t xml:space="preserve">Non-medical use of pharmaceutical </w:t>
            </w:r>
            <w:r w:rsidRPr="00CC6C25">
              <w:lastRenderedPageBreak/>
              <w:t>stimulants</w:t>
            </w:r>
          </w:p>
        </w:tc>
        <w:tc>
          <w:tcPr>
            <w:tcW w:w="0" w:type="auto"/>
            <w:shd w:val="clear" w:color="auto" w:fill="auto"/>
          </w:tcPr>
          <w:p w:rsidR="001105FD" w:rsidRPr="00CC6C25" w:rsidRDefault="00AA08D2" w:rsidP="00F16E68">
            <w:r w:rsidRPr="00CC6C25">
              <w:lastRenderedPageBreak/>
              <w:t>13</w:t>
            </w:r>
          </w:p>
        </w:tc>
      </w:tr>
      <w:tr w:rsidR="00007653" w:rsidTr="00CC6C25">
        <w:tc>
          <w:tcPr>
            <w:tcW w:w="0" w:type="auto"/>
            <w:shd w:val="clear" w:color="auto" w:fill="auto"/>
          </w:tcPr>
          <w:p w:rsidR="001105FD" w:rsidRPr="00CC6C25" w:rsidRDefault="00007653" w:rsidP="00F16E68">
            <w:r w:rsidRPr="00CC6C25">
              <w:lastRenderedPageBreak/>
              <w:t>Amphetamines</w:t>
            </w:r>
          </w:p>
        </w:tc>
        <w:tc>
          <w:tcPr>
            <w:tcW w:w="0" w:type="auto"/>
            <w:shd w:val="clear" w:color="auto" w:fill="auto"/>
          </w:tcPr>
          <w:p w:rsidR="001105FD" w:rsidRPr="00CC6C25" w:rsidRDefault="00FD30D9" w:rsidP="00F16E68">
            <w:r w:rsidRPr="00CC6C25">
              <w:t>48</w:t>
            </w:r>
          </w:p>
        </w:tc>
      </w:tr>
      <w:tr w:rsidR="00007653" w:rsidTr="00CC6C25">
        <w:tc>
          <w:tcPr>
            <w:tcW w:w="0" w:type="auto"/>
            <w:shd w:val="clear" w:color="auto" w:fill="auto"/>
          </w:tcPr>
          <w:p w:rsidR="001105FD" w:rsidRPr="00CC6C25" w:rsidRDefault="00007653" w:rsidP="00F16E68">
            <w:r w:rsidRPr="00CC6C25">
              <w:t>Non-medical use of pharmaceutical opioids</w:t>
            </w:r>
          </w:p>
        </w:tc>
        <w:tc>
          <w:tcPr>
            <w:tcW w:w="0" w:type="auto"/>
            <w:shd w:val="clear" w:color="auto" w:fill="auto"/>
          </w:tcPr>
          <w:p w:rsidR="001105FD" w:rsidRPr="00CC6C25" w:rsidRDefault="009162B5" w:rsidP="00F16E68">
            <w:r w:rsidRPr="00CC6C25">
              <w:t>24</w:t>
            </w:r>
          </w:p>
        </w:tc>
      </w:tr>
      <w:tr w:rsidR="00007653" w:rsidTr="00CC6C25">
        <w:tc>
          <w:tcPr>
            <w:tcW w:w="0" w:type="auto"/>
            <w:shd w:val="clear" w:color="auto" w:fill="auto"/>
          </w:tcPr>
          <w:p w:rsidR="001105FD" w:rsidRPr="00CC6C25" w:rsidRDefault="00007653" w:rsidP="00F16E68">
            <w:r w:rsidRPr="00CC6C25">
              <w:t>Non-medical use of sedatives and tranquilizers</w:t>
            </w:r>
          </w:p>
        </w:tc>
        <w:tc>
          <w:tcPr>
            <w:tcW w:w="0" w:type="auto"/>
            <w:shd w:val="clear" w:color="auto" w:fill="auto"/>
          </w:tcPr>
          <w:p w:rsidR="001105FD" w:rsidRPr="00CC6C25" w:rsidRDefault="00552CC4" w:rsidP="00F16E68">
            <w:r w:rsidRPr="00CC6C25">
              <w:t>48</w:t>
            </w:r>
          </w:p>
        </w:tc>
      </w:tr>
    </w:tbl>
    <w:p w:rsidR="0085735F" w:rsidRPr="0091786A" w:rsidRDefault="0085735F" w:rsidP="00F16E68"/>
    <w:p w:rsidR="00D358AE" w:rsidRPr="009603EF" w:rsidRDefault="00D358AE" w:rsidP="009603EF">
      <w:pPr>
        <w:pStyle w:val="3"/>
      </w:pPr>
      <w:bookmarkStart w:id="60" w:name="_Toc108702215"/>
      <w:r w:rsidRPr="009603EF">
        <w:t xml:space="preserve">Estimates of the </w:t>
      </w:r>
      <w:r w:rsidR="0077698D" w:rsidRPr="00742CFD">
        <w:t xml:space="preserve">number and </w:t>
      </w:r>
      <w:r w:rsidRPr="009603EF">
        <w:t xml:space="preserve">prevalence of </w:t>
      </w:r>
      <w:r w:rsidR="00B52D57" w:rsidRPr="009603EF">
        <w:t xml:space="preserve">people who </w:t>
      </w:r>
      <w:r w:rsidR="0057647E" w:rsidRPr="009603EF">
        <w:t>inject drug</w:t>
      </w:r>
      <w:r w:rsidR="00B52D57" w:rsidRPr="009603EF">
        <w:t>s</w:t>
      </w:r>
      <w:r w:rsidR="0057647E" w:rsidRPr="009603EF">
        <w:t xml:space="preserve"> </w:t>
      </w:r>
      <w:r w:rsidR="00C55CD9" w:rsidRPr="009603EF">
        <w:t xml:space="preserve">, </w:t>
      </w:r>
      <w:r w:rsidR="00981618" w:rsidRPr="009603EF">
        <w:t>HIV</w:t>
      </w:r>
      <w:r w:rsidR="0057647E" w:rsidRPr="009603EF">
        <w:t xml:space="preserve"> </w:t>
      </w:r>
      <w:r w:rsidR="00C55CD9" w:rsidRPr="009603EF">
        <w:t xml:space="preserve">and hepatitis (C and B virus) </w:t>
      </w:r>
      <w:r w:rsidR="0057647E" w:rsidRPr="009603EF">
        <w:t xml:space="preserve">among </w:t>
      </w:r>
      <w:r w:rsidR="003F2873" w:rsidRPr="009603EF">
        <w:t>people who inject drugs (PWID)</w:t>
      </w:r>
      <w:bookmarkEnd w:id="56"/>
      <w:bookmarkEnd w:id="57"/>
      <w:bookmarkEnd w:id="60"/>
      <w:r w:rsidR="003F2873" w:rsidRPr="009603EF">
        <w:t xml:space="preserve"> </w:t>
      </w:r>
    </w:p>
    <w:p w:rsidR="000B720C" w:rsidRPr="009603EF" w:rsidRDefault="004715AA" w:rsidP="009603EF">
      <w:pPr>
        <w:rPr>
          <w:b/>
          <w:bCs/>
        </w:rPr>
      </w:pPr>
      <w:r w:rsidRPr="009603EF">
        <w:rPr>
          <w:b/>
          <w:bCs/>
        </w:rPr>
        <w:t>D</w:t>
      </w:r>
      <w:r w:rsidR="002C1576" w:rsidRPr="009603EF">
        <w:rPr>
          <w:b/>
          <w:bCs/>
        </w:rPr>
        <w:t>ata sources, selection of country estimates and validation process</w:t>
      </w:r>
    </w:p>
    <w:p w:rsidR="002C1576" w:rsidRPr="0085745A" w:rsidRDefault="002C1576" w:rsidP="009603EF">
      <w:r w:rsidRPr="0092693B">
        <w:t>Population size estimates for PWID, and the prevalence of HIV</w:t>
      </w:r>
      <w:r w:rsidR="0017366D" w:rsidRPr="0092693B">
        <w:t xml:space="preserve"> and hepatitis</w:t>
      </w:r>
      <w:r w:rsidRPr="0092693B">
        <w:t xml:space="preserve"> among PWID, were identified using a comprehensive search of the published peer-reviewed literature, a search of the “grey” literature, from the official United Nations survey instruments of UNODC </w:t>
      </w:r>
      <w:r w:rsidR="0036169A">
        <w:t xml:space="preserve">(ARQ) </w:t>
      </w:r>
      <w:r w:rsidRPr="0092693B">
        <w:t>and UNAIDS</w:t>
      </w:r>
      <w:r w:rsidR="0036169A">
        <w:t xml:space="preserve"> (GMP)</w:t>
      </w:r>
      <w:r w:rsidRPr="0092693B">
        <w:t>, from regional organizations (particularly the European Monitoring Centre for Drugs and Drug Addiction (EMC</w:t>
      </w:r>
      <w:r w:rsidRPr="0085745A">
        <w:t>DDA)), and through the global network of UNODC HIV/AIDS Advisors.</w:t>
      </w:r>
    </w:p>
    <w:p w:rsidR="000D511A" w:rsidRPr="0036585D" w:rsidRDefault="002C1576" w:rsidP="00F16E68">
      <w:pPr>
        <w:rPr>
          <w:b/>
        </w:rPr>
      </w:pPr>
      <w:r w:rsidRPr="0085745A">
        <w:t xml:space="preserve">The criteria for the selection of country estimates primarily involved the consideration of the methodological soundness of the estimates, determined according to the classification presented in the table below (studies in class A are of higher methodological quality and those in class D of lower quality), with due regard to national geographic coverage, the year of the estimate, and the definition of the target population (global and regional estimates were made for the annual prevalence of injecting among both genders aged 15-64). </w:t>
      </w:r>
      <w:r w:rsidR="005B6AD8" w:rsidRPr="002E1D6F">
        <w:t>UNODC, WHO, UNAIDS and the World Bank</w:t>
      </w:r>
      <w:r w:rsidR="00B52D57">
        <w:t xml:space="preserve">, civil society organizations, a large network of national and international experts </w:t>
      </w:r>
      <w:r w:rsidR="005B6AD8" w:rsidRPr="002E1D6F">
        <w:t xml:space="preserve">reviewed </w:t>
      </w:r>
      <w:r w:rsidR="0077698D">
        <w:t xml:space="preserve">and validated </w:t>
      </w:r>
      <w:r w:rsidR="00B52D57">
        <w:t>the</w:t>
      </w:r>
      <w:r w:rsidR="00B52D57" w:rsidRPr="002E1D6F">
        <w:t xml:space="preserve"> </w:t>
      </w:r>
      <w:r w:rsidR="005B6AD8" w:rsidRPr="002E1D6F">
        <w:t>estimates</w:t>
      </w:r>
      <w:r w:rsidRPr="002E1D6F">
        <w:t>.</w:t>
      </w:r>
    </w:p>
    <w:p w:rsidR="000B720C" w:rsidRDefault="00541242" w:rsidP="006B4853">
      <w:pPr>
        <w:spacing w:before="0" w:line="240" w:lineRule="auto"/>
      </w:pPr>
      <w:r w:rsidRPr="00573B48">
        <w:t xml:space="preserve">Table: </w:t>
      </w:r>
      <w:r w:rsidR="000B720C" w:rsidRPr="00573B48">
        <w:t>Classification of methodology for people who inject drugs</w:t>
      </w:r>
      <w:r w:rsidR="0061480E" w:rsidRPr="00573B48">
        <w:t>,</w:t>
      </w:r>
      <w:r w:rsidR="000B720C" w:rsidRPr="00573B48">
        <w:t xml:space="preserve"> and those among them living with HIV</w:t>
      </w:r>
      <w:r w:rsidR="0017366D" w:rsidRPr="00573B48">
        <w:t xml:space="preserve"> and hepatitis</w:t>
      </w:r>
    </w:p>
    <w:p w:rsidR="006B4853" w:rsidRPr="00573B48" w:rsidRDefault="006B4853" w:rsidP="009603EF">
      <w:pPr>
        <w:spacing w:before="0" w:line="240" w:lineRule="auto"/>
      </w:pPr>
    </w:p>
    <w:p w:rsidR="003D7413" w:rsidRPr="00573B48" w:rsidRDefault="000B720C" w:rsidP="009603EF">
      <w:pPr>
        <w:spacing w:before="0" w:line="240" w:lineRule="auto"/>
      </w:pPr>
      <w:r w:rsidRPr="009603EF">
        <w:rPr>
          <w:sz w:val="20"/>
          <w:szCs w:val="20"/>
        </w:rPr>
        <w:lastRenderedPageBreak/>
        <w:t xml:space="preserve">Data </w:t>
      </w:r>
      <w:r w:rsidR="00A4104D" w:rsidRPr="009603EF">
        <w:rPr>
          <w:sz w:val="20"/>
          <w:szCs w:val="20"/>
        </w:rPr>
        <w:t>are</w:t>
      </w:r>
      <w:r w:rsidRPr="009603EF">
        <w:rPr>
          <w:sz w:val="20"/>
          <w:szCs w:val="20"/>
        </w:rPr>
        <w:t xml:space="preserve"> categorized by methodology according to a slightly modified classification originally proposed in Mathers et. al. (2008) Lancet paper</w:t>
      </w:r>
      <w:r w:rsidRPr="00573B48">
        <w:t>.</w:t>
      </w:r>
      <w:r w:rsidRPr="00573B48">
        <w:rPr>
          <w:rStyle w:val="a4"/>
          <w:sz w:val="22"/>
          <w:szCs w:val="22"/>
        </w:rPr>
        <w:footnoteReference w:id="8"/>
      </w:r>
    </w:p>
    <w:p w:rsidR="00A53950" w:rsidRPr="0092693B" w:rsidRDefault="00165DE8" w:rsidP="00F16E68">
      <w:pPr>
        <w:rPr>
          <w:sz w:val="22"/>
          <w:szCs w:val="22"/>
        </w:rPr>
      </w:pPr>
      <w:r>
        <w:rPr>
          <w:noProof/>
          <w:lang w:val="en-US" w:eastAsia="zh-CN"/>
        </w:rPr>
        <w:drawing>
          <wp:inline distT="0" distB="0" distL="0" distR="0">
            <wp:extent cx="5695950" cy="3467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0" cy="3467100"/>
                    </a:xfrm>
                    <a:prstGeom prst="rect">
                      <a:avLst/>
                    </a:prstGeom>
                    <a:noFill/>
                    <a:ln>
                      <a:noFill/>
                    </a:ln>
                  </pic:spPr>
                </pic:pic>
              </a:graphicData>
            </a:graphic>
          </wp:inline>
        </w:drawing>
      </w:r>
    </w:p>
    <w:p w:rsidR="00573B48" w:rsidRDefault="000D511A" w:rsidP="00F16E68">
      <w:r w:rsidRPr="0092693B">
        <w:t xml:space="preserve">As part of a wider review process, every year since 2014, UNODC, WHO, UNAIDS and the World Bank have reached out to a broad group of experts from academia  and regional, international, including civil society, organizations to ensure that a scientific approach to the methodology was used and that the greatest number of datasets available worldwide on the subject were included. Data were sent to Member States </w:t>
      </w:r>
      <w:r w:rsidR="001B64CD">
        <w:t>as part of the prepublication</w:t>
      </w:r>
      <w:r w:rsidR="001B64CD" w:rsidRPr="0085745A">
        <w:t xml:space="preserve"> </w:t>
      </w:r>
      <w:r w:rsidRPr="0085745A">
        <w:t xml:space="preserve">for their validation and potential comments on the selected estimates, or for completion of data if </w:t>
      </w:r>
      <w:r w:rsidR="001B64CD">
        <w:t xml:space="preserve">there were national estimates based on </w:t>
      </w:r>
      <w:r w:rsidRPr="0085745A">
        <w:t>surveys</w:t>
      </w:r>
      <w:r w:rsidR="001B64CD">
        <w:t xml:space="preserve"> or studies that</w:t>
      </w:r>
      <w:r w:rsidRPr="0085745A">
        <w:t xml:space="preserve"> had been conducted </w:t>
      </w:r>
      <w:r w:rsidR="001B64CD">
        <w:t xml:space="preserve">and </w:t>
      </w:r>
      <w:r w:rsidRPr="0085745A">
        <w:t>which UNODC was not aware of.</w:t>
      </w:r>
      <w:r w:rsidR="006B4853">
        <w:t xml:space="preserve"> </w:t>
      </w:r>
    </w:p>
    <w:p w:rsidR="00411329" w:rsidRPr="009603EF" w:rsidRDefault="00A43576" w:rsidP="009603EF">
      <w:pPr>
        <w:rPr>
          <w:b/>
          <w:bCs/>
        </w:rPr>
      </w:pPr>
      <w:r w:rsidRPr="009603EF">
        <w:rPr>
          <w:b/>
          <w:bCs/>
        </w:rPr>
        <w:t>Calculation of regional and global estimates</w:t>
      </w:r>
    </w:p>
    <w:p w:rsidR="00A43576" w:rsidRPr="002E1D6F" w:rsidRDefault="00A43576" w:rsidP="009603EF">
      <w:r w:rsidRPr="0092693B">
        <w:t xml:space="preserve">Regional and global estimates </w:t>
      </w:r>
      <w:r w:rsidR="005928C3" w:rsidRPr="0092693B">
        <w:t>we</w:t>
      </w:r>
      <w:r w:rsidRPr="0092693B">
        <w:t xml:space="preserve">re calculated for </w:t>
      </w:r>
      <w:r w:rsidR="001B64CD">
        <w:t xml:space="preserve">the </w:t>
      </w:r>
      <w:r w:rsidRPr="0092693B">
        <w:t>reference year</w:t>
      </w:r>
      <w:r w:rsidR="0041237F">
        <w:t xml:space="preserve"> 20</w:t>
      </w:r>
      <w:r w:rsidR="00B52D57">
        <w:t>2</w:t>
      </w:r>
      <w:r w:rsidR="00402625">
        <w:t>1</w:t>
      </w:r>
      <w:r w:rsidR="0041237F">
        <w:t xml:space="preserve"> </w:t>
      </w:r>
      <w:r w:rsidRPr="0085745A">
        <w:t xml:space="preserve">(as </w:t>
      </w:r>
      <w:r w:rsidR="004C2E90" w:rsidRPr="0085745A">
        <w:t xml:space="preserve">most of the data </w:t>
      </w:r>
      <w:r w:rsidRPr="0085745A">
        <w:t>pr</w:t>
      </w:r>
      <w:r w:rsidRPr="002E1D6F">
        <w:t xml:space="preserve">esented in </w:t>
      </w:r>
      <w:r w:rsidR="0041237F">
        <w:t>th</w:t>
      </w:r>
      <w:r w:rsidR="006C3E46">
        <w:t>e</w:t>
      </w:r>
      <w:r w:rsidR="0041237F">
        <w:t xml:space="preserve"> World Drug Report </w:t>
      </w:r>
      <w:r w:rsidR="006C3E46">
        <w:t>202</w:t>
      </w:r>
      <w:r w:rsidR="00AB0A23">
        <w:t>3</w:t>
      </w:r>
      <w:r w:rsidR="006C3E46">
        <w:t xml:space="preserve"> is</w:t>
      </w:r>
      <w:r w:rsidR="0041237F">
        <w:t xml:space="preserve"> for the </w:t>
      </w:r>
      <w:r w:rsidR="006C3E46">
        <w:t xml:space="preserve">reference </w:t>
      </w:r>
      <w:r w:rsidR="0041237F">
        <w:t>year 20</w:t>
      </w:r>
      <w:r w:rsidR="00B52D57">
        <w:t>2</w:t>
      </w:r>
      <w:r w:rsidR="00AB0A23">
        <w:t>1</w:t>
      </w:r>
      <w:r w:rsidR="0041237F">
        <w:t>.</w:t>
      </w:r>
      <w:r w:rsidRPr="002E1D6F">
        <w:t>).</w:t>
      </w:r>
    </w:p>
    <w:p w:rsidR="00EF1FE6" w:rsidRPr="0036585D" w:rsidRDefault="00EF1FE6" w:rsidP="00F16E68">
      <w:r w:rsidRPr="0036585D">
        <w:lastRenderedPageBreak/>
        <w:t xml:space="preserve">The regional best estimates for the prevalence of injecting drug use, and HIV </w:t>
      </w:r>
      <w:r w:rsidR="0061480E" w:rsidRPr="0036585D">
        <w:t xml:space="preserve">and hepatitis </w:t>
      </w:r>
      <w:r w:rsidRPr="0036585D">
        <w:t>among PWID, were calculated as the population-weighted means. The global estimate</w:t>
      </w:r>
      <w:r w:rsidR="008A2251" w:rsidRPr="0036585D">
        <w:t>s</w:t>
      </w:r>
      <w:r w:rsidRPr="0036585D">
        <w:t xml:space="preserve"> for </w:t>
      </w:r>
      <w:r w:rsidR="0041237F">
        <w:t>20</w:t>
      </w:r>
      <w:r w:rsidR="00B52D57">
        <w:t>2</w:t>
      </w:r>
      <w:r w:rsidR="00AB0A23">
        <w:t>1</w:t>
      </w:r>
      <w:r w:rsidR="008A2251" w:rsidRPr="0036585D">
        <w:t xml:space="preserve"> were</w:t>
      </w:r>
      <w:r w:rsidRPr="0036585D">
        <w:t xml:space="preserve"> calculated as the population-weighted regional means. In the population-weighting procedure, the population refers to those aged 15-64 years for the year </w:t>
      </w:r>
      <w:r w:rsidR="0041237F">
        <w:t>20</w:t>
      </w:r>
      <w:r w:rsidR="002C6931">
        <w:t>21</w:t>
      </w:r>
      <w:r w:rsidRPr="0036585D">
        <w:t xml:space="preserve"> in the case of the prevalence of </w:t>
      </w:r>
      <w:r w:rsidR="006C3E46">
        <w:t xml:space="preserve">people who </w:t>
      </w:r>
      <w:r w:rsidRPr="0036585D">
        <w:t>inject drug</w:t>
      </w:r>
      <w:r w:rsidR="006C3E46">
        <w:t>s</w:t>
      </w:r>
      <w:r w:rsidRPr="0036585D">
        <w:t xml:space="preserve">, or to the estimated number of PWID for the year </w:t>
      </w:r>
      <w:r w:rsidR="0041237F">
        <w:t>20</w:t>
      </w:r>
      <w:r w:rsidR="00B52D57">
        <w:t>2</w:t>
      </w:r>
      <w:r w:rsidR="002C6931">
        <w:t>1</w:t>
      </w:r>
      <w:r w:rsidRPr="0036585D">
        <w:t xml:space="preserve"> in the case of the prevalence of HIV </w:t>
      </w:r>
      <w:r w:rsidR="0061480E" w:rsidRPr="0036585D">
        <w:t xml:space="preserve">and hepatitis </w:t>
      </w:r>
      <w:r w:rsidRPr="0036585D">
        <w:t>among PWID. For countries where a number</w:t>
      </w:r>
      <w:r w:rsidR="006C3E46">
        <w:t xml:space="preserve"> (as size estimate)</w:t>
      </w:r>
      <w:r w:rsidRPr="0036585D">
        <w:t xml:space="preserve"> of PWID was reported in the study/survey, a prevalence estimate was subsequently calculated using the population aged 15-64 corresponding to the year of the estimate. For those countries where an estimate of the prevalence of HIV </w:t>
      </w:r>
      <w:r w:rsidR="0061480E" w:rsidRPr="0036585D">
        <w:t xml:space="preserve">or hepatitis </w:t>
      </w:r>
      <w:r w:rsidRPr="0036585D">
        <w:t xml:space="preserve">among PWID was available, but a population size estimate for PWID was not, then the regional </w:t>
      </w:r>
      <w:r w:rsidR="006C3E46">
        <w:t xml:space="preserve">weighted </w:t>
      </w:r>
      <w:r w:rsidRPr="0036585D">
        <w:t xml:space="preserve">average prevalence of </w:t>
      </w:r>
      <w:r w:rsidR="006C3E46">
        <w:t xml:space="preserve">people who </w:t>
      </w:r>
      <w:r w:rsidRPr="0036585D">
        <w:t>inject drug</w:t>
      </w:r>
      <w:r w:rsidR="006C3E46">
        <w:t>s</w:t>
      </w:r>
      <w:r w:rsidRPr="0036585D">
        <w:t xml:space="preserve"> was used to produce a population size estimate for PWID that was used in the weighting procedure for the prevalence of HIV </w:t>
      </w:r>
      <w:r w:rsidR="0061480E" w:rsidRPr="0036585D">
        <w:t xml:space="preserve">and hepatitis </w:t>
      </w:r>
      <w:r w:rsidRPr="0036585D">
        <w:t>among PWID.</w:t>
      </w:r>
    </w:p>
    <w:p w:rsidR="00951FBE" w:rsidRDefault="00EF1FE6" w:rsidP="00F16E68">
      <w:r w:rsidRPr="0036585D">
        <w:t xml:space="preserve">Uncertainty intervals for the regional and global best estimates were calculated that reflect both the range in the country prevalence estimates (if these were </w:t>
      </w:r>
      <w:r w:rsidR="00347AF4">
        <w:t>avail</w:t>
      </w:r>
      <w:r w:rsidR="00AD582B">
        <w:t>a</w:t>
      </w:r>
      <w:r w:rsidR="00347AF4">
        <w:t>b</w:t>
      </w:r>
      <w:r w:rsidR="00AD582B">
        <w:t>l</w:t>
      </w:r>
      <w:r w:rsidR="00347AF4">
        <w:t>e</w:t>
      </w:r>
      <w:r w:rsidRPr="0036585D">
        <w:t>) and the regional variability in the available country prevalence estimates. To achieve this, the 10th and 90th percentiles of the known prevalence estimates for countries from within the same region were determined. These were then applied to countries from within the same region for which no estimates were available to give a range of plausible population size estimates. This produced a liberal uncertainty range while excluding the extreme prevalence estimates.</w:t>
      </w:r>
    </w:p>
    <w:p w:rsidR="0020656F" w:rsidRDefault="0020656F" w:rsidP="00B914D5">
      <w:r>
        <w:t>In 202</w:t>
      </w:r>
      <w:r w:rsidR="005C41DE">
        <w:t>3</w:t>
      </w:r>
      <w:r>
        <w:t xml:space="preserve">, </w:t>
      </w:r>
      <w:r w:rsidR="00E20308">
        <w:t xml:space="preserve">the data points for people who inject drugs and living with HIV were also </w:t>
      </w:r>
      <w:r w:rsidR="00D42BA6">
        <w:t xml:space="preserve">populated. However there were not enough data points available of the recent data that would allow regional or global estimation of the </w:t>
      </w:r>
      <w:r w:rsidR="00B914D5">
        <w:t>people who inject drugs  and are living with HIV</w:t>
      </w:r>
      <w:r w:rsidR="00987A54">
        <w:t xml:space="preserve"> and hepatitis B and C</w:t>
      </w:r>
      <w:r w:rsidR="00B914D5">
        <w:t xml:space="preserve"> by gender. </w:t>
      </w:r>
      <w:r w:rsidR="008076EE">
        <w:t xml:space="preserve">The data points disaggregated by gender were available for PWID </w:t>
      </w:r>
      <w:r w:rsidR="006E63D3">
        <w:t xml:space="preserve">from 18 countries, for HIV among PWID from 58 countries, </w:t>
      </w:r>
      <w:r w:rsidR="00F60847">
        <w:t xml:space="preserve">for hepatitis C from 28 and hepatitis B from 17 countries. </w:t>
      </w:r>
      <w:r w:rsidR="00A86925" w:rsidRPr="00A86925">
        <w:t>For gender-specific estimates, an inclusive approach was adopted to enable the mapping of the availability of reported estimates, their quality, and general trends, for the purpose of informing research, and future reporting</w:t>
      </w:r>
      <w:r w:rsidR="00F60847">
        <w:t>.</w:t>
      </w:r>
    </w:p>
    <w:p w:rsidR="00FB030D" w:rsidRDefault="00FB030D" w:rsidP="006B4853">
      <w:pPr>
        <w:spacing w:before="0" w:line="240" w:lineRule="auto"/>
      </w:pPr>
    </w:p>
    <w:p w:rsidR="00573B48" w:rsidRDefault="00AD4C3C" w:rsidP="00F16E68">
      <w:r w:rsidRPr="009603EF">
        <w:rPr>
          <w:b/>
          <w:bCs/>
        </w:rPr>
        <w:t xml:space="preserve">Data quality of estimates on </w:t>
      </w:r>
      <w:r w:rsidR="00347AF4" w:rsidRPr="009603EF">
        <w:rPr>
          <w:b/>
          <w:bCs/>
        </w:rPr>
        <w:t xml:space="preserve">people who </w:t>
      </w:r>
      <w:r w:rsidRPr="009603EF">
        <w:rPr>
          <w:b/>
          <w:bCs/>
        </w:rPr>
        <w:t>inject drug</w:t>
      </w:r>
      <w:r w:rsidR="00347AF4" w:rsidRPr="009603EF">
        <w:rPr>
          <w:b/>
          <w:bCs/>
        </w:rPr>
        <w:t>s</w:t>
      </w:r>
      <w:r w:rsidRPr="009603EF">
        <w:rPr>
          <w:b/>
          <w:bCs/>
        </w:rPr>
        <w:t xml:space="preserve">  and HIV among PWID</w:t>
      </w:r>
    </w:p>
    <w:p w:rsidR="00AD4C3C" w:rsidRPr="009603EF" w:rsidRDefault="00AD4C3C" w:rsidP="009603EF">
      <w:pPr>
        <w:numPr>
          <w:ilvl w:val="0"/>
          <w:numId w:val="31"/>
        </w:numPr>
        <w:rPr>
          <w:i/>
          <w:iCs/>
        </w:rPr>
      </w:pPr>
      <w:r w:rsidRPr="009603EF">
        <w:rPr>
          <w:i/>
          <w:iCs/>
        </w:rPr>
        <w:lastRenderedPageBreak/>
        <w:t>Interpretation of regional and global estimates</w:t>
      </w:r>
    </w:p>
    <w:p w:rsidR="00AD4C3C" w:rsidRDefault="00AD4C3C" w:rsidP="00F16E68">
      <w:r w:rsidRPr="0092693B">
        <w:t xml:space="preserve">The global and regional estimates </w:t>
      </w:r>
      <w:r w:rsidR="004A607E" w:rsidRPr="0092693B">
        <w:t>for</w:t>
      </w:r>
      <w:r w:rsidRPr="0085745A">
        <w:t xml:space="preserve"> the prevalence of </w:t>
      </w:r>
      <w:r w:rsidR="00347AF4">
        <w:t xml:space="preserve">people who </w:t>
      </w:r>
      <w:r w:rsidRPr="0085745A">
        <w:t>inject drug</w:t>
      </w:r>
      <w:r w:rsidR="004112A3">
        <w:t>s</w:t>
      </w:r>
      <w:r w:rsidRPr="0085745A">
        <w:t xml:space="preserve"> and HIV among </w:t>
      </w:r>
      <w:r w:rsidR="008A2251" w:rsidRPr="0085745A">
        <w:t>PWID</w:t>
      </w:r>
      <w:r w:rsidRPr="0085745A">
        <w:t xml:space="preserve"> presented for </w:t>
      </w:r>
      <w:r w:rsidR="00B55AD6">
        <w:t>202</w:t>
      </w:r>
      <w:r w:rsidR="001356E5">
        <w:t>1</w:t>
      </w:r>
      <w:r w:rsidR="00B55AD6" w:rsidRPr="002E1D6F">
        <w:t xml:space="preserve"> </w:t>
      </w:r>
      <w:r w:rsidR="008B2BB3" w:rsidRPr="002E1D6F">
        <w:t>in the</w:t>
      </w:r>
      <w:r w:rsidRPr="0036585D">
        <w:t xml:space="preserve"> </w:t>
      </w:r>
      <w:r w:rsidRPr="0036585D">
        <w:rPr>
          <w:i/>
          <w:iCs/>
        </w:rPr>
        <w:t>World Drug Report</w:t>
      </w:r>
      <w:r w:rsidRPr="0036585D">
        <w:t xml:space="preserve"> should be viewed as an update to those presented in previous editions of the </w:t>
      </w:r>
      <w:r w:rsidRPr="0036585D">
        <w:rPr>
          <w:i/>
          <w:iCs/>
        </w:rPr>
        <w:t>World Drug Report</w:t>
      </w:r>
      <w:r w:rsidRPr="0036585D">
        <w:t xml:space="preserve"> </w:t>
      </w:r>
      <w:r w:rsidR="004A607E" w:rsidRPr="0036585D">
        <w:t>that</w:t>
      </w:r>
      <w:r w:rsidRPr="0036585D">
        <w:t xml:space="preserve"> reflect the latest </w:t>
      </w:r>
      <w:r w:rsidR="004112A3">
        <w:t xml:space="preserve">or the best </w:t>
      </w:r>
      <w:r w:rsidRPr="0036585D">
        <w:t xml:space="preserve">data available. This year new or updated information </w:t>
      </w:r>
      <w:r w:rsidR="00DD3821">
        <w:t>on size estimates of PWID was available from 23 countries</w:t>
      </w:r>
      <w:r w:rsidRPr="0036585D">
        <w:t xml:space="preserve"> and on HIV among PWID from </w:t>
      </w:r>
      <w:r w:rsidR="00DD3821">
        <w:t>31</w:t>
      </w:r>
      <w:r w:rsidR="00DD3821" w:rsidRPr="0036585D">
        <w:t xml:space="preserve"> </w:t>
      </w:r>
      <w:r w:rsidRPr="0036585D">
        <w:t xml:space="preserve">countries. The </w:t>
      </w:r>
      <w:r w:rsidR="00DD3821">
        <w:t xml:space="preserve">current estimates, </w:t>
      </w:r>
      <w:r w:rsidR="00A112B6">
        <w:t xml:space="preserve">changed </w:t>
      </w:r>
      <w:r w:rsidR="00DD3821">
        <w:t>from the previous year</w:t>
      </w:r>
      <w:r w:rsidR="005602AD">
        <w:t xml:space="preserve"> due to new population size estimate of people who inject drugs in thee United States and few other small population countries in Africa</w:t>
      </w:r>
      <w:r w:rsidR="00DD3821">
        <w:t>,</w:t>
      </w:r>
      <w:r w:rsidRPr="0036585D">
        <w:t xml:space="preserve"> </w:t>
      </w:r>
      <w:r w:rsidR="00357B59">
        <w:t xml:space="preserve">but </w:t>
      </w:r>
      <w:r w:rsidRPr="0036585D">
        <w:t>represent the best estimates that can currently be made using the most recent and highest quality data available to UNODC, WHO, UNAIDS, and the World Bank</w:t>
      </w:r>
      <w:r w:rsidR="00DD3821">
        <w:t xml:space="preserve"> based on data reported by Member States, published or grey literature or through other stakeholders.</w:t>
      </w:r>
      <w:r w:rsidR="00E278E7">
        <w:t xml:space="preserve"> </w:t>
      </w:r>
    </w:p>
    <w:p w:rsidR="00AD4C3C" w:rsidRPr="009E2C12" w:rsidRDefault="00AD4C3C" w:rsidP="009603EF">
      <w:pPr>
        <w:numPr>
          <w:ilvl w:val="0"/>
          <w:numId w:val="31"/>
        </w:numPr>
      </w:pPr>
      <w:r w:rsidRPr="009603EF">
        <w:rPr>
          <w:i/>
          <w:iCs/>
        </w:rPr>
        <w:t>Quality of national-level data on PWID</w:t>
      </w:r>
    </w:p>
    <w:p w:rsidR="004715AA" w:rsidRPr="0036585D" w:rsidRDefault="003D1CEE" w:rsidP="00F16E68">
      <w:r>
        <w:t xml:space="preserve">In the current round the data on PWID includes information from 125 countries, of which </w:t>
      </w:r>
      <w:r w:rsidR="00A518DF">
        <w:t>19</w:t>
      </w:r>
      <w:r w:rsidR="00874725">
        <w:t xml:space="preserve"> </w:t>
      </w:r>
      <w:r>
        <w:t xml:space="preserve">were updated from previous years Overall, of the data from </w:t>
      </w:r>
      <w:r w:rsidR="007971E3">
        <w:t xml:space="preserve">130 </w:t>
      </w:r>
      <w:r>
        <w:t xml:space="preserve">countries </w:t>
      </w:r>
      <w:r w:rsidR="00AD4C3C" w:rsidRPr="0036585D">
        <w:t xml:space="preserve">on the </w:t>
      </w:r>
      <w:r>
        <w:t xml:space="preserve">size estimates or </w:t>
      </w:r>
      <w:r w:rsidR="00AD4C3C" w:rsidRPr="0036585D">
        <w:t xml:space="preserve">prevalence of PWID, </w:t>
      </w:r>
      <w:r w:rsidR="007971E3">
        <w:t xml:space="preserve">covering 91 of the global population aged 15-64, </w:t>
      </w:r>
      <w:r w:rsidR="009F681C">
        <w:t>29</w:t>
      </w:r>
      <w:r w:rsidR="009F681C" w:rsidRPr="0036585D">
        <w:t xml:space="preserve"> </w:t>
      </w:r>
      <w:r w:rsidR="00AD4C3C" w:rsidRPr="0036585D">
        <w:t>per cent were of high methodological quality (class A, as defined in the table</w:t>
      </w:r>
      <w:r w:rsidR="00F562D7" w:rsidRPr="0036585D">
        <w:t xml:space="preserve"> above</w:t>
      </w:r>
      <w:r w:rsidR="00AD4C3C" w:rsidRPr="0036585D">
        <w:t xml:space="preserve">) and </w:t>
      </w:r>
      <w:r w:rsidR="009F681C">
        <w:t>82</w:t>
      </w:r>
      <w:r w:rsidR="009F681C" w:rsidRPr="0036585D">
        <w:t xml:space="preserve"> </w:t>
      </w:r>
      <w:r w:rsidR="00AD4C3C" w:rsidRPr="0036585D">
        <w:t xml:space="preserve">per cent related to </w:t>
      </w:r>
      <w:r>
        <w:t>recent</w:t>
      </w:r>
      <w:r w:rsidRPr="0036585D">
        <w:t xml:space="preserve"> </w:t>
      </w:r>
      <w:r w:rsidR="00AD4C3C" w:rsidRPr="0036585D">
        <w:t xml:space="preserve">data from </w:t>
      </w:r>
      <w:r w:rsidR="005C1BCD" w:rsidRPr="0036585D">
        <w:t>201</w:t>
      </w:r>
      <w:r w:rsidR="005C1BCD">
        <w:t>5</w:t>
      </w:r>
      <w:r w:rsidR="005C1BCD" w:rsidRPr="0036585D">
        <w:t xml:space="preserve"> </w:t>
      </w:r>
      <w:r w:rsidR="005C1BCD">
        <w:t xml:space="preserve">or </w:t>
      </w:r>
      <w:r>
        <w:t>later</w:t>
      </w:r>
      <w:r w:rsidR="00AD4C3C" w:rsidRPr="0036585D">
        <w:t xml:space="preserve">. </w:t>
      </w:r>
      <w:r w:rsidR="000A7DDC" w:rsidRPr="0036585D">
        <w:t>Almost one-</w:t>
      </w:r>
      <w:r w:rsidR="00AD4C3C" w:rsidRPr="0036585D">
        <w:t>half (</w:t>
      </w:r>
      <w:r w:rsidR="0058692C">
        <w:t>48</w:t>
      </w:r>
      <w:r w:rsidR="0058692C" w:rsidRPr="0036585D">
        <w:t xml:space="preserve"> </w:t>
      </w:r>
      <w:r w:rsidR="00AD4C3C" w:rsidRPr="0036585D">
        <w:t>per cent) of the countries have information that is from recent, methodologically high</w:t>
      </w:r>
      <w:r w:rsidR="00626C0D">
        <w:t>-</w:t>
      </w:r>
      <w:r w:rsidR="00AD4C3C" w:rsidRPr="0036585D">
        <w:t>quality surveys. With a low level of coverage of the population aged 15-64 compared to other regions there is limited information on PWID for countries in Africa</w:t>
      </w:r>
      <w:r w:rsidR="0058692C">
        <w:t xml:space="preserve"> (</w:t>
      </w:r>
      <w:r w:rsidR="00B020C1">
        <w:t>61 percent of the data coverage in terms of countries)</w:t>
      </w:r>
      <w:r w:rsidR="00AD4C3C" w:rsidRPr="0036585D">
        <w:t xml:space="preserve">. It is noticeable that there are </w:t>
      </w:r>
      <w:r w:rsidR="009A2310" w:rsidRPr="0036585D">
        <w:t>relatively few</w:t>
      </w:r>
      <w:r w:rsidR="00AD4C3C" w:rsidRPr="0036585D">
        <w:t xml:space="preserve"> recent</w:t>
      </w:r>
      <w:r>
        <w:t xml:space="preserve"> and</w:t>
      </w:r>
      <w:r w:rsidRPr="0036585D">
        <w:t xml:space="preserve"> </w:t>
      </w:r>
      <w:r w:rsidR="00AD4C3C" w:rsidRPr="0036585D">
        <w:t>methodologically high</w:t>
      </w:r>
      <w:r w:rsidR="00626C0D">
        <w:t>-</w:t>
      </w:r>
      <w:r w:rsidR="00AD4C3C" w:rsidRPr="0036585D">
        <w:t>quality data from the Americas</w:t>
      </w:r>
      <w:r>
        <w:t xml:space="preserve"> (</w:t>
      </w:r>
      <w:r w:rsidR="007127E6">
        <w:t xml:space="preserve">19 </w:t>
      </w:r>
      <w:r>
        <w:t>per cent)</w:t>
      </w:r>
      <w:r w:rsidR="00AD4C3C" w:rsidRPr="0036585D">
        <w:t xml:space="preserve">. However, for the two sub-regions with the highest prevalence of PWID (Eastern and South-Eastern Europe, and Central Asia and Transcaucasia) there is a very high percentage data coverage of the populations aged 15-64 and </w:t>
      </w:r>
      <w:r w:rsidR="00E713D9">
        <w:t xml:space="preserve">approximately one </w:t>
      </w:r>
      <w:r w:rsidR="004A607E" w:rsidRPr="0036585D">
        <w:t>half</w:t>
      </w:r>
      <w:r w:rsidR="00AD4C3C" w:rsidRPr="0036585D">
        <w:t xml:space="preserve"> </w:t>
      </w:r>
      <w:r w:rsidR="00E713D9">
        <w:t xml:space="preserve">or more </w:t>
      </w:r>
      <w:r w:rsidR="00AD4C3C" w:rsidRPr="0036585D">
        <w:t xml:space="preserve">of the </w:t>
      </w:r>
      <w:r w:rsidR="004A607E" w:rsidRPr="0036585D">
        <w:t>estimates</w:t>
      </w:r>
      <w:r w:rsidR="00AD4C3C" w:rsidRPr="0036585D">
        <w:t xml:space="preserve"> are both recent and of high methodological quality.    </w:t>
      </w:r>
    </w:p>
    <w:p w:rsidR="004715AA" w:rsidRPr="009603EF" w:rsidRDefault="004715AA" w:rsidP="009603EF">
      <w:pPr>
        <w:numPr>
          <w:ilvl w:val="0"/>
          <w:numId w:val="31"/>
        </w:numPr>
        <w:rPr>
          <w:rFonts w:eastAsia="Calibri"/>
          <w:i/>
          <w:iCs/>
          <w:lang w:eastAsia="zh-CN"/>
        </w:rPr>
      </w:pPr>
      <w:r w:rsidRPr="009603EF">
        <w:rPr>
          <w:rFonts w:eastAsia="Calibri"/>
          <w:i/>
          <w:iCs/>
          <w:lang w:eastAsia="zh-CN"/>
        </w:rPr>
        <w:t>Quality of national-level data on HIV among PWID</w:t>
      </w:r>
    </w:p>
    <w:p w:rsidR="004715AA" w:rsidRDefault="004715AA" w:rsidP="00F16E68">
      <w:pPr>
        <w:rPr>
          <w:rFonts w:eastAsia="Calibri"/>
          <w:lang w:eastAsia="zh-CN"/>
        </w:rPr>
      </w:pPr>
      <w:r w:rsidRPr="0036585D">
        <w:rPr>
          <w:rFonts w:eastAsia="Calibri"/>
          <w:lang w:eastAsia="zh-CN"/>
        </w:rPr>
        <w:t>Of the 1</w:t>
      </w:r>
      <w:r w:rsidR="00E713D9">
        <w:rPr>
          <w:rFonts w:eastAsia="Calibri"/>
          <w:lang w:eastAsia="zh-CN"/>
        </w:rPr>
        <w:t>2</w:t>
      </w:r>
      <w:r w:rsidR="003D1CEE">
        <w:rPr>
          <w:rFonts w:eastAsia="Calibri"/>
          <w:lang w:eastAsia="zh-CN"/>
        </w:rPr>
        <w:t>3</w:t>
      </w:r>
      <w:r w:rsidRPr="0036585D">
        <w:rPr>
          <w:rFonts w:eastAsia="Calibri"/>
          <w:lang w:eastAsia="zh-CN"/>
        </w:rPr>
        <w:t xml:space="preserve"> countries with information on the prevalence of HIV among PWID, </w:t>
      </w:r>
      <w:r w:rsidR="00450CED">
        <w:rPr>
          <w:rFonts w:eastAsia="Calibri"/>
          <w:lang w:eastAsia="zh-CN"/>
        </w:rPr>
        <w:t xml:space="preserve">25 </w:t>
      </w:r>
      <w:r w:rsidR="0020656F">
        <w:rPr>
          <w:rFonts w:eastAsia="Calibri"/>
          <w:lang w:eastAsia="zh-CN"/>
        </w:rPr>
        <w:t xml:space="preserve">were updated in the current round. Of those, </w:t>
      </w:r>
      <w:r w:rsidR="00175697">
        <w:rPr>
          <w:rFonts w:eastAsia="Calibri"/>
          <w:lang w:eastAsia="zh-CN"/>
        </w:rPr>
        <w:t>75</w:t>
      </w:r>
      <w:r w:rsidR="00175697" w:rsidRPr="0036585D">
        <w:rPr>
          <w:rFonts w:eastAsia="Calibri"/>
          <w:lang w:eastAsia="zh-CN"/>
        </w:rPr>
        <w:t xml:space="preserve"> </w:t>
      </w:r>
      <w:r w:rsidRPr="0036585D">
        <w:rPr>
          <w:rFonts w:eastAsia="Calibri"/>
          <w:lang w:eastAsia="zh-CN"/>
        </w:rPr>
        <w:t xml:space="preserve">per cent were of high methodological quality (class </w:t>
      </w:r>
      <w:r w:rsidRPr="0036585D">
        <w:rPr>
          <w:rFonts w:eastAsia="Calibri"/>
          <w:lang w:eastAsia="zh-CN"/>
        </w:rPr>
        <w:lastRenderedPageBreak/>
        <w:t xml:space="preserve">A, as defined in the table above) and </w:t>
      </w:r>
      <w:r w:rsidR="0020656F">
        <w:rPr>
          <w:rFonts w:eastAsia="Calibri"/>
          <w:lang w:eastAsia="zh-CN"/>
        </w:rPr>
        <w:t>64</w:t>
      </w:r>
      <w:r w:rsidR="0020656F" w:rsidRPr="0036585D">
        <w:rPr>
          <w:rFonts w:eastAsia="Calibri"/>
          <w:lang w:eastAsia="zh-CN"/>
        </w:rPr>
        <w:t xml:space="preserve"> </w:t>
      </w:r>
      <w:r w:rsidRPr="0036585D">
        <w:rPr>
          <w:rFonts w:eastAsia="Calibri"/>
          <w:lang w:eastAsia="zh-CN"/>
        </w:rPr>
        <w:t xml:space="preserve">per cent related to timely data from </w:t>
      </w:r>
      <w:r w:rsidR="001E28D9" w:rsidRPr="0036585D">
        <w:rPr>
          <w:rFonts w:eastAsia="Calibri"/>
          <w:lang w:eastAsia="zh-CN"/>
        </w:rPr>
        <w:t>201</w:t>
      </w:r>
      <w:r w:rsidR="00596F02">
        <w:rPr>
          <w:rFonts w:eastAsia="Calibri"/>
          <w:lang w:eastAsia="zh-CN"/>
        </w:rPr>
        <w:t>5</w:t>
      </w:r>
      <w:r w:rsidR="001E28D9" w:rsidRPr="0036585D">
        <w:rPr>
          <w:rFonts w:eastAsia="Calibri"/>
          <w:lang w:eastAsia="zh-CN"/>
        </w:rPr>
        <w:t xml:space="preserve"> </w:t>
      </w:r>
      <w:r w:rsidRPr="0036585D">
        <w:rPr>
          <w:rFonts w:eastAsia="Calibri"/>
          <w:lang w:eastAsia="zh-CN"/>
        </w:rPr>
        <w:t xml:space="preserve">or more recently. </w:t>
      </w:r>
      <w:r w:rsidR="0020656F">
        <w:rPr>
          <w:rFonts w:eastAsia="Calibri"/>
          <w:lang w:eastAsia="zh-CN"/>
        </w:rPr>
        <w:t>Information from nearly half of the countries (</w:t>
      </w:r>
      <w:r w:rsidR="005C1BCD">
        <w:rPr>
          <w:rFonts w:eastAsia="Calibri"/>
          <w:lang w:eastAsia="zh-CN"/>
        </w:rPr>
        <w:t xml:space="preserve">48 </w:t>
      </w:r>
      <w:r w:rsidR="0020656F">
        <w:rPr>
          <w:rFonts w:eastAsia="Calibri"/>
          <w:lang w:eastAsia="zh-CN"/>
        </w:rPr>
        <w:t>per cent) provided</w:t>
      </w:r>
      <w:r w:rsidRPr="0036585D">
        <w:rPr>
          <w:rFonts w:eastAsia="Calibri"/>
          <w:lang w:eastAsia="zh-CN"/>
        </w:rPr>
        <w:t xml:space="preserve"> </w:t>
      </w:r>
      <w:r w:rsidR="0020656F">
        <w:rPr>
          <w:rFonts w:eastAsia="Calibri"/>
          <w:lang w:eastAsia="zh-CN"/>
        </w:rPr>
        <w:t>was</w:t>
      </w:r>
      <w:r w:rsidRPr="0036585D">
        <w:rPr>
          <w:rFonts w:eastAsia="Calibri"/>
          <w:lang w:eastAsia="zh-CN"/>
        </w:rPr>
        <w:t xml:space="preserve"> from both recent and methodologically high</w:t>
      </w:r>
      <w:r w:rsidR="00626C0D">
        <w:rPr>
          <w:rFonts w:eastAsia="Calibri"/>
          <w:lang w:eastAsia="zh-CN"/>
        </w:rPr>
        <w:t>-</w:t>
      </w:r>
      <w:r w:rsidRPr="0036585D">
        <w:rPr>
          <w:rFonts w:eastAsia="Calibri"/>
          <w:lang w:eastAsia="zh-CN"/>
        </w:rPr>
        <w:t>quality surveys. The two sub-regions that have by far the highest prevalence of HIV among PWID (South-West Asia, and Eastern and South-Eastern Europe) have prevalence estimates from all countries and from methodologically high</w:t>
      </w:r>
      <w:r w:rsidR="00626C0D">
        <w:rPr>
          <w:rFonts w:eastAsia="Calibri"/>
          <w:lang w:eastAsia="zh-CN"/>
        </w:rPr>
        <w:t>-</w:t>
      </w:r>
      <w:r w:rsidRPr="0036585D">
        <w:rPr>
          <w:rFonts w:eastAsia="Calibri"/>
          <w:lang w:eastAsia="zh-CN"/>
        </w:rPr>
        <w:t xml:space="preserve">quality surveys from </w:t>
      </w:r>
      <w:r w:rsidR="0020656F">
        <w:rPr>
          <w:rFonts w:eastAsia="Calibri"/>
          <w:lang w:eastAsia="zh-CN"/>
        </w:rPr>
        <w:t>nearly one third</w:t>
      </w:r>
      <w:r w:rsidRPr="0036585D">
        <w:rPr>
          <w:rFonts w:eastAsia="Calibri"/>
          <w:lang w:eastAsia="zh-CN"/>
        </w:rPr>
        <w:t xml:space="preserve"> of those countries. </w:t>
      </w:r>
    </w:p>
    <w:p w:rsidR="00E278E7" w:rsidRDefault="00E278E7" w:rsidP="00FB030D">
      <w:pPr>
        <w:jc w:val="center"/>
        <w:rPr>
          <w:rFonts w:eastAsia="Calibri"/>
          <w:lang w:eastAsia="zh-CN"/>
        </w:rPr>
      </w:pPr>
    </w:p>
    <w:p w:rsidR="00E278E7" w:rsidRDefault="00E278E7" w:rsidP="00FB030D">
      <w:pPr>
        <w:jc w:val="center"/>
        <w:rPr>
          <w:rFonts w:eastAsia="Calibri"/>
          <w:lang w:eastAsia="zh-CN"/>
        </w:rPr>
      </w:pPr>
    </w:p>
    <w:p w:rsidR="00E278E7" w:rsidRDefault="00E278E7" w:rsidP="00FB030D">
      <w:pPr>
        <w:jc w:val="center"/>
        <w:rPr>
          <w:rFonts w:eastAsia="Calibri"/>
          <w:lang w:eastAsia="zh-CN"/>
        </w:rPr>
      </w:pPr>
    </w:p>
    <w:p w:rsidR="000A7DDC" w:rsidRDefault="00936447" w:rsidP="009603EF">
      <w:pPr>
        <w:spacing w:before="0" w:line="240" w:lineRule="auto"/>
        <w:jc w:val="center"/>
        <w:rPr>
          <w:rFonts w:eastAsia="Calibri"/>
          <w:lang w:eastAsia="zh-CN"/>
        </w:rPr>
      </w:pPr>
      <w:r w:rsidRPr="00573B48">
        <w:rPr>
          <w:rFonts w:eastAsia="Calibri"/>
          <w:lang w:eastAsia="zh-CN"/>
        </w:rPr>
        <w:t xml:space="preserve">Table: </w:t>
      </w:r>
      <w:r w:rsidR="00AD4C3C" w:rsidRPr="00573B48">
        <w:rPr>
          <w:rFonts w:eastAsia="Calibri"/>
          <w:lang w:eastAsia="zh-CN"/>
        </w:rPr>
        <w:t xml:space="preserve">Population coverage, timeliness and methodological quality of information from the </w:t>
      </w:r>
      <w:r w:rsidR="005C1BCD">
        <w:rPr>
          <w:rFonts w:eastAsia="Calibri"/>
          <w:lang w:eastAsia="zh-CN"/>
        </w:rPr>
        <w:t>130</w:t>
      </w:r>
      <w:r w:rsidR="005C1BCD" w:rsidRPr="00573B48">
        <w:rPr>
          <w:rFonts w:eastAsia="Calibri"/>
          <w:lang w:eastAsia="zh-CN"/>
        </w:rPr>
        <w:t xml:space="preserve"> </w:t>
      </w:r>
      <w:r w:rsidR="00AD4C3C" w:rsidRPr="00573B48">
        <w:rPr>
          <w:rFonts w:eastAsia="Calibri"/>
          <w:lang w:eastAsia="zh-CN"/>
        </w:rPr>
        <w:t>countries with data on people who inject drugs</w:t>
      </w:r>
    </w:p>
    <w:p w:rsidR="00DC512D" w:rsidRDefault="00BC7619" w:rsidP="00BC7619">
      <w:pPr>
        <w:jc w:val="center"/>
        <w:rPr>
          <w:rFonts w:eastAsia="Calibri"/>
          <w:sz w:val="22"/>
          <w:szCs w:val="22"/>
          <w:lang w:eastAsia="zh-CN"/>
        </w:rPr>
      </w:pPr>
      <w:r w:rsidRPr="00BC7619">
        <w:rPr>
          <w:rFonts w:eastAsia="Calibri"/>
          <w:noProof/>
          <w:lang w:val="en-US" w:eastAsia="zh-CN"/>
        </w:rPr>
        <w:drawing>
          <wp:inline distT="0" distB="0" distL="0" distR="0">
            <wp:extent cx="5729605" cy="4572000"/>
            <wp:effectExtent l="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9605" cy="4572000"/>
                    </a:xfrm>
                    <a:prstGeom prst="rect">
                      <a:avLst/>
                    </a:prstGeom>
                    <a:noFill/>
                    <a:ln>
                      <a:noFill/>
                    </a:ln>
                  </pic:spPr>
                </pic:pic>
              </a:graphicData>
            </a:graphic>
          </wp:inline>
        </w:drawing>
      </w:r>
    </w:p>
    <w:p w:rsidR="00AD4C3C" w:rsidRDefault="00AD4C3C" w:rsidP="005B74E4">
      <w:pPr>
        <w:spacing w:before="0" w:line="240" w:lineRule="auto"/>
        <w:rPr>
          <w:rFonts w:eastAsia="Calibri"/>
          <w:sz w:val="20"/>
          <w:szCs w:val="20"/>
          <w:lang w:eastAsia="zh-CN"/>
        </w:rPr>
      </w:pPr>
      <w:r w:rsidRPr="009603EF">
        <w:rPr>
          <w:rFonts w:eastAsia="Calibri"/>
          <w:sz w:val="20"/>
          <w:szCs w:val="20"/>
          <w:lang w:eastAsia="zh-CN"/>
        </w:rPr>
        <w:t>Sources for original estimates on PWID: UNODC annual report questionnaire, progress reports of UNAIDS on the global AIDS response (various years), the former Reference Group to the United Nations on HIV and Injecting Drug Use</w:t>
      </w:r>
      <w:r w:rsidR="00B405AD" w:rsidRPr="009603EF">
        <w:rPr>
          <w:rFonts w:eastAsia="Calibri"/>
          <w:sz w:val="20"/>
          <w:szCs w:val="20"/>
          <w:lang w:eastAsia="zh-CN"/>
        </w:rPr>
        <w:t xml:space="preserve">, peer-reviewed </w:t>
      </w:r>
      <w:r w:rsidR="004E324D" w:rsidRPr="009603EF">
        <w:rPr>
          <w:rFonts w:eastAsia="Calibri"/>
          <w:sz w:val="20"/>
          <w:szCs w:val="20"/>
          <w:lang w:eastAsia="zh-CN"/>
        </w:rPr>
        <w:t xml:space="preserve">journal </w:t>
      </w:r>
      <w:r w:rsidR="00B405AD" w:rsidRPr="009603EF">
        <w:rPr>
          <w:rFonts w:eastAsia="Calibri"/>
          <w:sz w:val="20"/>
          <w:szCs w:val="20"/>
          <w:lang w:eastAsia="zh-CN"/>
        </w:rPr>
        <w:t>articles</w:t>
      </w:r>
      <w:r w:rsidR="00971805" w:rsidRPr="009603EF">
        <w:rPr>
          <w:rFonts w:eastAsia="Calibri"/>
          <w:sz w:val="20"/>
          <w:szCs w:val="20"/>
          <w:lang w:eastAsia="zh-CN"/>
        </w:rPr>
        <w:t xml:space="preserve">, study/survey reports </w:t>
      </w:r>
      <w:r w:rsidRPr="009603EF">
        <w:rPr>
          <w:rFonts w:eastAsia="Calibri"/>
          <w:sz w:val="20"/>
          <w:szCs w:val="20"/>
          <w:lang w:eastAsia="zh-CN"/>
        </w:rPr>
        <w:t>and national government reports.</w:t>
      </w:r>
    </w:p>
    <w:p w:rsidR="00E278E7" w:rsidRDefault="00E278E7" w:rsidP="005B74E4">
      <w:pPr>
        <w:spacing w:before="0" w:line="240" w:lineRule="auto"/>
        <w:rPr>
          <w:rFonts w:eastAsia="Calibri"/>
          <w:sz w:val="20"/>
          <w:szCs w:val="20"/>
          <w:lang w:eastAsia="zh-CN"/>
        </w:rPr>
      </w:pPr>
    </w:p>
    <w:p w:rsidR="00E278E7" w:rsidRDefault="00E278E7" w:rsidP="005B74E4">
      <w:pPr>
        <w:spacing w:before="0" w:line="240" w:lineRule="auto"/>
        <w:rPr>
          <w:rFonts w:eastAsia="Calibri"/>
          <w:sz w:val="20"/>
          <w:szCs w:val="20"/>
          <w:lang w:eastAsia="zh-CN"/>
        </w:rPr>
      </w:pPr>
    </w:p>
    <w:p w:rsidR="00B4000F" w:rsidRDefault="00B4000F" w:rsidP="005B74E4">
      <w:pPr>
        <w:spacing w:before="0" w:line="240" w:lineRule="auto"/>
        <w:rPr>
          <w:rFonts w:eastAsia="Calibri"/>
          <w:sz w:val="20"/>
          <w:szCs w:val="20"/>
          <w:lang w:eastAsia="zh-CN"/>
        </w:rPr>
      </w:pPr>
    </w:p>
    <w:p w:rsidR="00B4000F" w:rsidRDefault="00B4000F" w:rsidP="005B74E4">
      <w:pPr>
        <w:spacing w:before="0" w:line="240" w:lineRule="auto"/>
        <w:rPr>
          <w:rFonts w:eastAsia="Calibri"/>
          <w:sz w:val="20"/>
          <w:szCs w:val="20"/>
          <w:lang w:eastAsia="zh-CN"/>
        </w:rPr>
      </w:pPr>
    </w:p>
    <w:p w:rsidR="00B4000F" w:rsidRDefault="00B4000F" w:rsidP="005B74E4">
      <w:pPr>
        <w:spacing w:before="0" w:line="240" w:lineRule="auto"/>
        <w:rPr>
          <w:rFonts w:eastAsia="Calibri"/>
          <w:sz w:val="20"/>
          <w:szCs w:val="20"/>
          <w:lang w:eastAsia="zh-CN"/>
        </w:rPr>
      </w:pPr>
    </w:p>
    <w:p w:rsidR="00B4000F" w:rsidRDefault="00B4000F" w:rsidP="005B74E4">
      <w:pPr>
        <w:spacing w:before="0" w:line="240" w:lineRule="auto"/>
        <w:rPr>
          <w:rFonts w:eastAsia="Calibri"/>
          <w:sz w:val="20"/>
          <w:szCs w:val="20"/>
          <w:lang w:eastAsia="zh-CN"/>
        </w:rPr>
      </w:pPr>
    </w:p>
    <w:p w:rsidR="00B4000F" w:rsidRDefault="00B4000F" w:rsidP="005B74E4">
      <w:pPr>
        <w:spacing w:before="0" w:line="240" w:lineRule="auto"/>
        <w:rPr>
          <w:rFonts w:eastAsia="Calibri"/>
          <w:sz w:val="20"/>
          <w:szCs w:val="20"/>
          <w:lang w:eastAsia="zh-CN"/>
        </w:rPr>
      </w:pPr>
    </w:p>
    <w:p w:rsidR="00B4000F" w:rsidRDefault="00B4000F" w:rsidP="005B74E4">
      <w:pPr>
        <w:spacing w:before="0" w:line="240" w:lineRule="auto"/>
        <w:rPr>
          <w:rFonts w:eastAsia="Calibri"/>
          <w:sz w:val="20"/>
          <w:szCs w:val="20"/>
          <w:lang w:eastAsia="zh-CN"/>
        </w:rPr>
      </w:pPr>
    </w:p>
    <w:p w:rsidR="00B4000F" w:rsidRDefault="00B4000F" w:rsidP="005B74E4">
      <w:pPr>
        <w:spacing w:before="0" w:line="240" w:lineRule="auto"/>
        <w:rPr>
          <w:rFonts w:eastAsia="Calibri"/>
          <w:sz w:val="20"/>
          <w:szCs w:val="20"/>
          <w:lang w:eastAsia="zh-CN"/>
        </w:rPr>
      </w:pPr>
    </w:p>
    <w:p w:rsidR="00B4000F" w:rsidRDefault="00B4000F" w:rsidP="005B74E4">
      <w:pPr>
        <w:spacing w:before="0" w:line="240" w:lineRule="auto"/>
        <w:rPr>
          <w:rFonts w:eastAsia="Calibri"/>
          <w:sz w:val="20"/>
          <w:szCs w:val="20"/>
          <w:lang w:eastAsia="zh-CN"/>
        </w:rPr>
      </w:pPr>
    </w:p>
    <w:p w:rsidR="00B4000F" w:rsidRDefault="00B4000F" w:rsidP="005B74E4">
      <w:pPr>
        <w:spacing w:before="0" w:line="240" w:lineRule="auto"/>
        <w:rPr>
          <w:rFonts w:eastAsia="Calibri"/>
          <w:sz w:val="20"/>
          <w:szCs w:val="20"/>
          <w:lang w:eastAsia="zh-CN"/>
        </w:rPr>
      </w:pPr>
    </w:p>
    <w:p w:rsidR="00B4000F" w:rsidRDefault="00B4000F" w:rsidP="005B74E4">
      <w:pPr>
        <w:spacing w:before="0" w:line="240" w:lineRule="auto"/>
        <w:rPr>
          <w:rFonts w:eastAsia="Calibri"/>
          <w:sz w:val="20"/>
          <w:szCs w:val="20"/>
          <w:lang w:eastAsia="zh-CN"/>
        </w:rPr>
      </w:pPr>
    </w:p>
    <w:p w:rsidR="003D7413" w:rsidRDefault="00936447" w:rsidP="009603EF">
      <w:pPr>
        <w:spacing w:before="0" w:line="240" w:lineRule="auto"/>
        <w:rPr>
          <w:rFonts w:eastAsia="Calibri"/>
          <w:lang w:eastAsia="zh-CN"/>
        </w:rPr>
      </w:pPr>
      <w:r w:rsidRPr="00573B48">
        <w:rPr>
          <w:rFonts w:eastAsia="Calibri"/>
          <w:lang w:eastAsia="zh-CN"/>
        </w:rPr>
        <w:t xml:space="preserve">Table: </w:t>
      </w:r>
      <w:r w:rsidR="00971805" w:rsidRPr="00573B48">
        <w:rPr>
          <w:rFonts w:eastAsia="Calibri"/>
          <w:lang w:eastAsia="zh-CN"/>
        </w:rPr>
        <w:t>Population coverage</w:t>
      </w:r>
      <w:r w:rsidR="00AD4C3C" w:rsidRPr="00573B48">
        <w:rPr>
          <w:rFonts w:eastAsia="Calibri"/>
          <w:lang w:eastAsia="zh-CN"/>
        </w:rPr>
        <w:t xml:space="preserve">, timeliness and methodological quality of information from the </w:t>
      </w:r>
      <w:r w:rsidR="00DC512D" w:rsidRPr="00573B48">
        <w:rPr>
          <w:rFonts w:eastAsia="Calibri"/>
          <w:lang w:eastAsia="zh-CN"/>
        </w:rPr>
        <w:t>1</w:t>
      </w:r>
      <w:r w:rsidR="00DC512D">
        <w:rPr>
          <w:rFonts w:eastAsia="Calibri"/>
          <w:lang w:eastAsia="zh-CN"/>
        </w:rPr>
        <w:t>23</w:t>
      </w:r>
      <w:r w:rsidR="00DC512D" w:rsidRPr="00573B48">
        <w:rPr>
          <w:rFonts w:eastAsia="Calibri"/>
          <w:lang w:eastAsia="zh-CN"/>
        </w:rPr>
        <w:t xml:space="preserve"> </w:t>
      </w:r>
      <w:r w:rsidR="00AD4C3C" w:rsidRPr="00573B48">
        <w:rPr>
          <w:rFonts w:eastAsia="Calibri"/>
          <w:lang w:eastAsia="zh-CN"/>
        </w:rPr>
        <w:t xml:space="preserve">countries with data on </w:t>
      </w:r>
      <w:r w:rsidR="00971805" w:rsidRPr="00573B48">
        <w:rPr>
          <w:rFonts w:eastAsia="Calibri"/>
          <w:lang w:eastAsia="zh-CN"/>
        </w:rPr>
        <w:t xml:space="preserve">the prevalence of </w:t>
      </w:r>
      <w:r w:rsidR="00AD4C3C" w:rsidRPr="00573B48">
        <w:rPr>
          <w:rFonts w:eastAsia="Calibri"/>
          <w:lang w:eastAsia="zh-CN"/>
        </w:rPr>
        <w:t>HIV among people who inject drugs</w:t>
      </w:r>
    </w:p>
    <w:p w:rsidR="00DC512D" w:rsidRDefault="006A55C3" w:rsidP="004B6C86">
      <w:pPr>
        <w:jc w:val="center"/>
        <w:rPr>
          <w:rFonts w:eastAsia="Calibri"/>
          <w:sz w:val="22"/>
          <w:szCs w:val="22"/>
          <w:lang w:eastAsia="zh-CN"/>
        </w:rPr>
      </w:pPr>
      <w:r w:rsidRPr="006A55C3">
        <w:rPr>
          <w:rFonts w:eastAsia="Calibri"/>
          <w:noProof/>
          <w:lang w:val="en-US" w:eastAsia="zh-CN"/>
        </w:rPr>
        <w:drawing>
          <wp:inline distT="0" distB="0" distL="0" distR="0">
            <wp:extent cx="5729605" cy="4451985"/>
            <wp:effectExtent l="0" t="0" r="4445"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9605" cy="4451985"/>
                    </a:xfrm>
                    <a:prstGeom prst="rect">
                      <a:avLst/>
                    </a:prstGeom>
                    <a:noFill/>
                    <a:ln>
                      <a:noFill/>
                    </a:ln>
                  </pic:spPr>
                </pic:pic>
              </a:graphicData>
            </a:graphic>
          </wp:inline>
        </w:drawing>
      </w:r>
    </w:p>
    <w:p w:rsidR="00D95C36" w:rsidRPr="009603EF" w:rsidRDefault="00D95C36" w:rsidP="009603EF">
      <w:pPr>
        <w:spacing w:before="0" w:line="240" w:lineRule="auto"/>
        <w:rPr>
          <w:rFonts w:eastAsia="Calibri"/>
          <w:sz w:val="20"/>
          <w:szCs w:val="20"/>
          <w:lang w:eastAsia="zh-CN"/>
        </w:rPr>
      </w:pPr>
      <w:r w:rsidRPr="009603EF">
        <w:rPr>
          <w:rFonts w:eastAsia="Calibri"/>
          <w:sz w:val="20"/>
          <w:szCs w:val="20"/>
          <w:lang w:eastAsia="zh-CN"/>
        </w:rPr>
        <w:t>Sources for original estimates on HIV among PWID: UNODC annual report questionnaire, progress reports of UNAIDS on the global AIDS response (various years), the former Reference Group to the United Nations on HIV and Injecting Drug Use, peer-reviewed journal articles, study/survey reports and national government reports.</w:t>
      </w:r>
    </w:p>
    <w:p w:rsidR="00601B87" w:rsidRDefault="0061750A" w:rsidP="009603EF">
      <w:pPr>
        <w:pStyle w:val="2"/>
      </w:pPr>
      <w:bookmarkStart w:id="61" w:name="_Toc108702216"/>
      <w:r>
        <w:lastRenderedPageBreak/>
        <w:t>Estimate of total number of people in treatment for drug use disorders</w:t>
      </w:r>
      <w:bookmarkEnd w:id="61"/>
    </w:p>
    <w:p w:rsidR="0061750A" w:rsidRDefault="00F43FB9" w:rsidP="00F16E68">
      <w:r>
        <w:t>The data on drug-related treatment reported by Member States in the annual report questionnaire is often scarce, while the existing data points may have incomplete coverage. A first attempt was made in WDR 2022, to partially overcome these drawbacks. The sequence of steps taken was as follows, while limitations of the approach are detailed below.</w:t>
      </w:r>
    </w:p>
    <w:p w:rsidR="00F43FB9" w:rsidRDefault="00F43FB9" w:rsidP="00F16E68">
      <w:pPr>
        <w:numPr>
          <w:ilvl w:val="0"/>
          <w:numId w:val="28"/>
        </w:numPr>
      </w:pPr>
      <w:r w:rsidRPr="00F43FB9">
        <w:t>1. First, countries with treatment data reported as having national coverage were selected and their most recent data reported between 2015 and 2019 was used. The year 2020 was</w:t>
      </w:r>
      <w:r w:rsidR="00243C74">
        <w:t xml:space="preserve"> mostly</w:t>
      </w:r>
      <w:r w:rsidRPr="00F43FB9">
        <w:t xml:space="preserve"> avoided as the COVID-19 pandemic has had a detrimental effect on treatment attendance, which could bias the results.</w:t>
      </w:r>
    </w:p>
    <w:p w:rsidR="00F43FB9" w:rsidRPr="00F43FB9" w:rsidRDefault="00F43FB9" w:rsidP="00F16E68">
      <w:pPr>
        <w:numPr>
          <w:ilvl w:val="0"/>
          <w:numId w:val="28"/>
        </w:numPr>
      </w:pPr>
      <w:r>
        <w:t>2. Data reported by</w:t>
      </w:r>
      <w:r w:rsidRPr="00F43FB9">
        <w:t xml:space="preserve"> Europ</w:t>
      </w:r>
      <w:r>
        <w:t xml:space="preserve">ean countries </w:t>
      </w:r>
      <w:r w:rsidR="00BA1B65">
        <w:t xml:space="preserve">were updated </w:t>
      </w:r>
      <w:r w:rsidRPr="00F43FB9">
        <w:t xml:space="preserve">with </w:t>
      </w:r>
      <w:r w:rsidR="00BA1B65">
        <w:t>‘</w:t>
      </w:r>
      <w:r w:rsidRPr="00F43FB9">
        <w:t>total treated</w:t>
      </w:r>
      <w:r w:rsidR="00BA1B65">
        <w:t xml:space="preserve"> population’</w:t>
      </w:r>
      <w:r w:rsidRPr="00F43FB9">
        <w:t xml:space="preserve"> </w:t>
      </w:r>
      <w:r w:rsidR="00BA1B65">
        <w:t xml:space="preserve">published by the EMCDDA under table </w:t>
      </w:r>
      <w:r w:rsidR="00742E2E">
        <w:t xml:space="preserve">HSR-10-1 (available from </w:t>
      </w:r>
      <w:hyperlink r:id="rId24" w:history="1">
        <w:r w:rsidR="00243C74" w:rsidRPr="00D22C76">
          <w:rPr>
            <w:rStyle w:val="a9"/>
          </w:rPr>
          <w:t>https://www.emcdda.europa.eu/data/stats2022/hsr_en</w:t>
        </w:r>
      </w:hyperlink>
      <w:r w:rsidR="00742E2E">
        <w:t>)</w:t>
      </w:r>
      <w:r w:rsidR="00243C74">
        <w:t xml:space="preserve"> as these figures comply with the UNODC definition best.</w:t>
      </w:r>
    </w:p>
    <w:p w:rsidR="00F43FB9" w:rsidRPr="00F43FB9" w:rsidRDefault="00E063A0" w:rsidP="00F16E68">
      <w:pPr>
        <w:numPr>
          <w:ilvl w:val="0"/>
          <w:numId w:val="28"/>
        </w:numPr>
      </w:pPr>
      <w:r>
        <w:t>3</w:t>
      </w:r>
      <w:r w:rsidR="00F43FB9" w:rsidRPr="00F43FB9">
        <w:t>.</w:t>
      </w:r>
      <w:r>
        <w:t xml:space="preserve"> The rate of treated patients or clients </w:t>
      </w:r>
      <w:r w:rsidR="00F43FB9" w:rsidRPr="00F43FB9">
        <w:t>per 100 000 inhabitants</w:t>
      </w:r>
      <w:r>
        <w:t xml:space="preserve"> aged 15-64</w:t>
      </w:r>
      <w:r w:rsidR="00F43FB9" w:rsidRPr="00F43FB9">
        <w:t xml:space="preserve"> of the </w:t>
      </w:r>
      <w:r>
        <w:t xml:space="preserve">respective </w:t>
      </w:r>
      <w:r w:rsidR="00F43FB9" w:rsidRPr="00F43FB9">
        <w:t>countries</w:t>
      </w:r>
      <w:r>
        <w:t xml:space="preserve"> was calculated.</w:t>
      </w:r>
    </w:p>
    <w:p w:rsidR="00F43FB9" w:rsidRPr="00F43FB9" w:rsidRDefault="00805B7B" w:rsidP="00F16E68">
      <w:pPr>
        <w:numPr>
          <w:ilvl w:val="0"/>
          <w:numId w:val="28"/>
        </w:numPr>
      </w:pPr>
      <w:r>
        <w:t>4</w:t>
      </w:r>
      <w:r w:rsidR="00F43FB9" w:rsidRPr="00F43FB9">
        <w:t xml:space="preserve">. </w:t>
      </w:r>
      <w:r w:rsidR="00E063A0">
        <w:t>An average rate for the countries</w:t>
      </w:r>
      <w:r w:rsidR="00727281">
        <w:t xml:space="preserve"> with available data</w:t>
      </w:r>
      <w:r w:rsidR="00E063A0">
        <w:t xml:space="preserve"> was calculated, which was weighted by the numbers of treated persons in each country, i.e. an overall rate of treated per overall population of these countries, was obtained.</w:t>
      </w:r>
    </w:p>
    <w:p w:rsidR="00F43FB9" w:rsidRPr="00F43FB9" w:rsidRDefault="00805B7B" w:rsidP="00F16E68">
      <w:pPr>
        <w:numPr>
          <w:ilvl w:val="0"/>
          <w:numId w:val="28"/>
        </w:numPr>
      </w:pPr>
      <w:r>
        <w:t>5</w:t>
      </w:r>
      <w:r w:rsidR="00F43FB9" w:rsidRPr="00F43FB9">
        <w:t xml:space="preserve">. </w:t>
      </w:r>
      <w:r w:rsidR="00E063A0">
        <w:t>This rate was then applied to the</w:t>
      </w:r>
      <w:r w:rsidR="00F43FB9" w:rsidRPr="00F43FB9">
        <w:t xml:space="preserve"> </w:t>
      </w:r>
      <w:r w:rsidR="00E063A0">
        <w:t>region</w:t>
      </w:r>
      <w:r w:rsidR="00F43FB9" w:rsidRPr="00F43FB9">
        <w:t>’s</w:t>
      </w:r>
      <w:r w:rsidR="00E063A0">
        <w:t xml:space="preserve"> or </w:t>
      </w:r>
      <w:r w:rsidR="00F43FB9" w:rsidRPr="00F43FB9">
        <w:t>subregion</w:t>
      </w:r>
      <w:r w:rsidR="00E063A0">
        <w:t>’s</w:t>
      </w:r>
      <w:r w:rsidR="00F43FB9" w:rsidRPr="00F43FB9">
        <w:t xml:space="preserve"> population aged 15-64</w:t>
      </w:r>
      <w:r w:rsidR="00E063A0">
        <w:t xml:space="preserve"> (Americas were divided into North America and South and Central America and the Caribbean, while the remaining regions were not divided).</w:t>
      </w:r>
    </w:p>
    <w:p w:rsidR="00F43FB9" w:rsidRPr="00F43FB9" w:rsidRDefault="00805B7B" w:rsidP="00F16E68">
      <w:pPr>
        <w:numPr>
          <w:ilvl w:val="0"/>
          <w:numId w:val="28"/>
        </w:numPr>
      </w:pPr>
      <w:r>
        <w:t>6</w:t>
      </w:r>
      <w:r w:rsidR="00F43FB9" w:rsidRPr="00F43FB9">
        <w:t xml:space="preserve">. </w:t>
      </w:r>
      <w:r w:rsidR="00E063A0">
        <w:t xml:space="preserve">The global figure was obtained by </w:t>
      </w:r>
      <w:r w:rsidR="00F43FB9" w:rsidRPr="00F43FB9">
        <w:t xml:space="preserve">adding up </w:t>
      </w:r>
      <w:r w:rsidR="00E063A0">
        <w:t>the estimates of all</w:t>
      </w:r>
      <w:r w:rsidR="00F43FB9" w:rsidRPr="00F43FB9">
        <w:t xml:space="preserve"> </w:t>
      </w:r>
      <w:r w:rsidR="00E063A0">
        <w:t xml:space="preserve">regions or </w:t>
      </w:r>
      <w:r w:rsidR="00F43FB9" w:rsidRPr="00F43FB9">
        <w:t>subregions</w:t>
      </w:r>
      <w:r w:rsidR="00E063A0">
        <w:t>.</w:t>
      </w:r>
    </w:p>
    <w:p w:rsidR="007302D2" w:rsidRDefault="007302D2" w:rsidP="00F16E68">
      <w:r>
        <w:t>The list of countries included in the estimate with primary data reported by them is as follows:</w:t>
      </w:r>
    </w:p>
    <w:p w:rsidR="007302D2" w:rsidRPr="009603EF" w:rsidRDefault="007302D2" w:rsidP="009603EF">
      <w:pPr>
        <w:numPr>
          <w:ilvl w:val="0"/>
          <w:numId w:val="30"/>
        </w:numPr>
      </w:pPr>
      <w:r w:rsidRPr="00742CFD">
        <w:t xml:space="preserve">Africa: </w:t>
      </w:r>
      <w:r w:rsidRPr="00AA7203">
        <w:t>Ethiopia, Benin, Burkina Faso, Cabo Verde, Côte d'Ivoire, Ga</w:t>
      </w:r>
      <w:r w:rsidRPr="00650439">
        <w:t>mbia, Ghana, Guinea, Guinea-Bissau, Li</w:t>
      </w:r>
      <w:r w:rsidRPr="006C7D5A">
        <w:t>beria, Mal</w:t>
      </w:r>
      <w:r w:rsidRPr="009603EF">
        <w:t xml:space="preserve">i, Mauritania, Niger, Nigeria, Senegal, Sierra </w:t>
      </w:r>
      <w:r w:rsidRPr="009603EF">
        <w:lastRenderedPageBreak/>
        <w:t>Leone, Togo, Botswana, Namibia, South Africa, Morocco, Tunisia, Angola, Algeria, Mauritius, Seychelles</w:t>
      </w:r>
    </w:p>
    <w:p w:rsidR="007302D2" w:rsidRPr="009603EF" w:rsidRDefault="007302D2" w:rsidP="009603EF">
      <w:pPr>
        <w:numPr>
          <w:ilvl w:val="0"/>
          <w:numId w:val="30"/>
        </w:numPr>
      </w:pPr>
      <w:r w:rsidRPr="009603EF">
        <w:t>Asia: India, Bangladesh, Kuwait, Philippines, Oman, Uzbekistan, Iraq, China, Kazakhstan, Myanmar, Armenia, Sri Lanka, Turkmenistan, Singapore, Azerbaijan, Macao SAR, Brunei Darussalam, Afghanistan, Tajikistan, Hong Kong SAR, Cambodia, Israel, Thailand, Iran (Islamic Republic of)</w:t>
      </w:r>
    </w:p>
    <w:p w:rsidR="007302D2" w:rsidRPr="008B333F" w:rsidRDefault="007302D2" w:rsidP="009603EF">
      <w:pPr>
        <w:numPr>
          <w:ilvl w:val="0"/>
          <w:numId w:val="30"/>
        </w:numPr>
        <w:rPr>
          <w:lang w:val="es-ES"/>
        </w:rPr>
      </w:pPr>
      <w:r w:rsidRPr="008B333F">
        <w:rPr>
          <w:lang w:val="es-ES"/>
        </w:rPr>
        <w:t>Americas: Panama, El Salvador, Grenada, Mexico, Peru, Bahamas, Chile, Argentina, Bolivia (Plurinational State of), Costa Rica, United States of America, Canada</w:t>
      </w:r>
    </w:p>
    <w:p w:rsidR="007302D2" w:rsidRPr="008B333F" w:rsidRDefault="007302D2" w:rsidP="009603EF">
      <w:pPr>
        <w:numPr>
          <w:ilvl w:val="0"/>
          <w:numId w:val="30"/>
        </w:numPr>
        <w:rPr>
          <w:lang w:val="es-ES"/>
        </w:rPr>
      </w:pPr>
      <w:r w:rsidRPr="008B333F">
        <w:rPr>
          <w:lang w:val="es-ES"/>
        </w:rPr>
        <w:t xml:space="preserve">Europe: Andorra, Austria, Belgium, Bosnia and Herzegovina, Bulgaria, Croatia, Cyprus, Czechia, Denmark, Estonia, Finland, France, Germany, Greece, Hungary, Iceland, Ireland, Italy, Latvia, Lithuania, Luxembourg, Malta, Montenegro, Netherlands, Norway, Poland, Portugal, Romania, Russian Federation, Serbia, Slovakia, Slovenia, Spain, Sweden, </w:t>
      </w:r>
      <w:bookmarkStart w:id="62" w:name="_Hlk108606161"/>
      <w:r w:rsidR="00363AFC" w:rsidRPr="008B333F">
        <w:rPr>
          <w:lang w:val="es-ES"/>
        </w:rPr>
        <w:t>Türkiye</w:t>
      </w:r>
      <w:bookmarkEnd w:id="62"/>
      <w:r w:rsidRPr="008B333F">
        <w:rPr>
          <w:lang w:val="es-ES"/>
        </w:rPr>
        <w:t>, Ukraine, United Kingdom</w:t>
      </w:r>
      <w:r w:rsidR="00CD4A81" w:rsidRPr="008B333F">
        <w:rPr>
          <w:lang w:val="es-ES"/>
        </w:rPr>
        <w:t>.</w:t>
      </w:r>
    </w:p>
    <w:p w:rsidR="004E1068" w:rsidRDefault="00ED3571" w:rsidP="00F16E68">
      <w:r>
        <w:t xml:space="preserve">There were several limitations of this approach. </w:t>
      </w:r>
      <w:r w:rsidR="002C0E6D">
        <w:t>Firstly, t</w:t>
      </w:r>
      <w:r>
        <w:t xml:space="preserve">he rates of </w:t>
      </w:r>
      <w:r w:rsidR="00723E71">
        <w:t xml:space="preserve">treated individuals per 100 000 inhabitants varied considerably among countries </w:t>
      </w:r>
      <w:r w:rsidR="00C925C9">
        <w:t>to the extent that no useful sensitivity analysis intervals could be obtained for the analysis. Therefore, there is likely considerable uncertainty in the rates applied to the countries not covered by reporting of the numbers of treated persons. Secondly, it was not possible to quantify the background prevalence (prevalence of drug use disorders in the populations of the respective countries) which could have been a very influential factor determining the numbers of treated persons.</w:t>
      </w:r>
      <w:r w:rsidR="002A3BA7">
        <w:t xml:space="preserve"> Furthermore, despite reporting numbers as having ‘national’ coverage, in many reporting countries the coverage of reporting is far from optimal. This is especially</w:t>
      </w:r>
      <w:r w:rsidR="00727281">
        <w:t xml:space="preserve"> true</w:t>
      </w:r>
      <w:r w:rsidR="002A3BA7">
        <w:t xml:space="preserve"> in the case of India with reported </w:t>
      </w:r>
      <w:r w:rsidR="004E1068">
        <w:t>only 1.9 treated person per 100 000 inhabitants in the latest data (lowest rate in the region and known to be likely grossly underestimated) and likely also China and other countries. This knowledge led us to interpret the obtained estimate as the lower bound estimate of the actual number of treated persons globally, which needs to be further improved in the years to come.</w:t>
      </w:r>
    </w:p>
    <w:p w:rsidR="00F43FB9" w:rsidRPr="0061750A" w:rsidRDefault="004E1068" w:rsidP="009603EF">
      <w:r>
        <w:t xml:space="preserve">It also has to be noted, that previously published estimated rate of treated persons </w:t>
      </w:r>
      <w:r w:rsidR="00115717">
        <w:t xml:space="preserve">per estimated number of people with drug use disorders is not comparable between WDR 2022 </w:t>
      </w:r>
      <w:r w:rsidR="00115717">
        <w:lastRenderedPageBreak/>
        <w:t>and previous World Drug Reports, owing to the fact that a different methodology was used in determining this rate.</w:t>
      </w:r>
    </w:p>
    <w:p w:rsidR="002529EF" w:rsidRPr="00DA42E3" w:rsidRDefault="002529EF" w:rsidP="009603EF">
      <w:pPr>
        <w:pStyle w:val="3"/>
      </w:pPr>
      <w:bookmarkStart w:id="63" w:name="_Toc108702217"/>
      <w:bookmarkStart w:id="64" w:name="_Hlk516139510"/>
      <w:r w:rsidRPr="00DA42E3">
        <w:t>Calculation of trends based on qualitative information</w:t>
      </w:r>
      <w:bookmarkEnd w:id="63"/>
      <w:r w:rsidRPr="00DA42E3">
        <w:t xml:space="preserve"> </w:t>
      </w:r>
    </w:p>
    <w:p w:rsidR="002529EF" w:rsidRPr="009603EF" w:rsidRDefault="002529EF" w:rsidP="00F16E68">
      <w:pPr>
        <w:pStyle w:val="a3"/>
        <w:rPr>
          <w:sz w:val="24"/>
          <w:szCs w:val="24"/>
        </w:rPr>
      </w:pPr>
      <w:r w:rsidRPr="009603EF">
        <w:rPr>
          <w:sz w:val="24"/>
          <w:szCs w:val="24"/>
        </w:rPr>
        <w:t>In addition to estimates on the extent of drug use, Member States also provide UNODC with qualitative information on their perceptions of drug use trends</w:t>
      </w:r>
      <w:r w:rsidR="009F7517" w:rsidRPr="009603EF">
        <w:rPr>
          <w:sz w:val="24"/>
          <w:szCs w:val="24"/>
        </w:rPr>
        <w:t>, trends in drug treatment and drug-related morbidity and mortality</w:t>
      </w:r>
      <w:r w:rsidRPr="009603EF">
        <w:rPr>
          <w:sz w:val="24"/>
          <w:szCs w:val="24"/>
        </w:rPr>
        <w:t xml:space="preserve"> as well as qualitative information on perceptions of trafficking trends and on perceptions of cultivation trends. </w:t>
      </w:r>
    </w:p>
    <w:p w:rsidR="002529EF" w:rsidRPr="009603EF" w:rsidRDefault="002529EF" w:rsidP="00F16E68">
      <w:pPr>
        <w:pStyle w:val="a3"/>
        <w:rPr>
          <w:sz w:val="24"/>
          <w:szCs w:val="24"/>
        </w:rPr>
      </w:pPr>
      <w:r w:rsidRPr="009603EF">
        <w:rPr>
          <w:sz w:val="24"/>
          <w:szCs w:val="24"/>
        </w:rPr>
        <w:t>The advantage of the use of such indices based on reported trend indicators is that often larger numbers of countries are able to report such trends, not only developed but also developing countries, thus reducing a potential reporting bias in the results. This is notably of importance when it comes to changes in prevalence rates of drug use as there is a strong bias in favo</w:t>
      </w:r>
      <w:r w:rsidR="00083862">
        <w:rPr>
          <w:sz w:val="24"/>
          <w:szCs w:val="24"/>
        </w:rPr>
        <w:t>u</w:t>
      </w:r>
      <w:r w:rsidRPr="009603EF">
        <w:rPr>
          <w:sz w:val="24"/>
          <w:szCs w:val="24"/>
        </w:rPr>
        <w:t>r of household surveys conducted in developed counties</w:t>
      </w:r>
      <w:r w:rsidR="00C851B2" w:rsidRPr="009603EF">
        <w:rPr>
          <w:sz w:val="24"/>
          <w:szCs w:val="24"/>
        </w:rPr>
        <w:t xml:space="preserve"> as these are more likely to be regularly conducted in developed countries</w:t>
      </w:r>
      <w:r w:rsidRPr="009603EF">
        <w:rPr>
          <w:sz w:val="24"/>
          <w:szCs w:val="24"/>
        </w:rPr>
        <w:t xml:space="preserve">. There is also an advantage of using such qualitative information for the analysis of trafficking as the “traditional method”, the analysis of trends in quantities seized may reflect not only underlying changes in drug flow but also changes in law enforcement priorities. Finally, for crops where no comprehensive, scientific monitoring of the areas under drug cultivation exist, such as for cannabis, countries report a multitude of indictors that are, in general, not directly comparable with each other (hectares eradicated, plants eradicated, quantities eradicated, plants seized, greenhouses dismantled etc.) and which – when aggregated at the global level - often </w:t>
      </w:r>
      <w:r w:rsidR="006603C8" w:rsidRPr="009603EF">
        <w:rPr>
          <w:sz w:val="24"/>
          <w:szCs w:val="24"/>
        </w:rPr>
        <w:t xml:space="preserve">point </w:t>
      </w:r>
      <w:r w:rsidRPr="009603EF">
        <w:rPr>
          <w:sz w:val="24"/>
          <w:szCs w:val="24"/>
        </w:rPr>
        <w:t xml:space="preserve">into opposite directions. Under such circumstances, the analysis of reported cultivation trends by Member States provides at least some basic indications for the likely overall trends in cultivation.           </w:t>
      </w:r>
    </w:p>
    <w:p w:rsidR="002529EF" w:rsidRPr="009603EF" w:rsidRDefault="002529EF" w:rsidP="00F16E68">
      <w:pPr>
        <w:pStyle w:val="a3"/>
        <w:rPr>
          <w:sz w:val="24"/>
          <w:szCs w:val="24"/>
        </w:rPr>
      </w:pPr>
      <w:r w:rsidRPr="009603EF">
        <w:rPr>
          <w:sz w:val="24"/>
          <w:szCs w:val="24"/>
        </w:rPr>
        <w:t xml:space="preserve">Thus, in </w:t>
      </w:r>
      <w:r w:rsidR="005255B2">
        <w:rPr>
          <w:sz w:val="24"/>
          <w:szCs w:val="24"/>
        </w:rPr>
        <w:t>the online segment as well a</w:t>
      </w:r>
      <w:r w:rsidR="0092077D">
        <w:rPr>
          <w:sz w:val="24"/>
          <w:szCs w:val="24"/>
        </w:rPr>
        <w:t xml:space="preserve">s in the </w:t>
      </w:r>
      <w:r w:rsidRPr="009603EF">
        <w:rPr>
          <w:sz w:val="24"/>
          <w:szCs w:val="24"/>
        </w:rPr>
        <w:t>booklet</w:t>
      </w:r>
      <w:r w:rsidR="0092077D">
        <w:rPr>
          <w:sz w:val="24"/>
          <w:szCs w:val="24"/>
        </w:rPr>
        <w:t xml:space="preserve"> on </w:t>
      </w:r>
      <w:r w:rsidR="001849CB">
        <w:rPr>
          <w:sz w:val="24"/>
          <w:szCs w:val="24"/>
        </w:rPr>
        <w:t>Contemporary Issues on Drugs</w:t>
      </w:r>
      <w:r w:rsidRPr="009603EF">
        <w:rPr>
          <w:sz w:val="24"/>
          <w:szCs w:val="24"/>
        </w:rPr>
        <w:t>, perceptions of cannabis use and cannabis cultivation trends (both for overall cannabis cultivation as well as indoor and outdoor cannabis cultivation) were shown</w:t>
      </w:r>
      <w:r w:rsidR="00A94B21" w:rsidRPr="009603EF">
        <w:rPr>
          <w:sz w:val="24"/>
          <w:szCs w:val="24"/>
        </w:rPr>
        <w:t>, and similarly perceptions of opioid use trends</w:t>
      </w:r>
      <w:r w:rsidR="002F3314">
        <w:rPr>
          <w:sz w:val="24"/>
          <w:szCs w:val="24"/>
        </w:rPr>
        <w:t>,  t</w:t>
      </w:r>
      <w:r w:rsidRPr="009603EF">
        <w:rPr>
          <w:sz w:val="24"/>
          <w:szCs w:val="24"/>
        </w:rPr>
        <w:t xml:space="preserve">rends </w:t>
      </w:r>
      <w:r w:rsidR="002A4B19" w:rsidRPr="009603EF">
        <w:rPr>
          <w:sz w:val="24"/>
          <w:szCs w:val="24"/>
        </w:rPr>
        <w:t>in cocaine</w:t>
      </w:r>
      <w:r w:rsidR="008679A0" w:rsidRPr="009603EF">
        <w:rPr>
          <w:sz w:val="24"/>
          <w:szCs w:val="24"/>
        </w:rPr>
        <w:t xml:space="preserve"> and ATS</w:t>
      </w:r>
      <w:r w:rsidR="002A4B19" w:rsidRPr="009603EF">
        <w:rPr>
          <w:sz w:val="24"/>
          <w:szCs w:val="24"/>
        </w:rPr>
        <w:t xml:space="preserve"> use and treatment for cocaine</w:t>
      </w:r>
      <w:r w:rsidR="008679A0" w:rsidRPr="009603EF">
        <w:rPr>
          <w:sz w:val="24"/>
          <w:szCs w:val="24"/>
        </w:rPr>
        <w:t xml:space="preserve"> and ATS</w:t>
      </w:r>
      <w:r w:rsidR="002A4B19" w:rsidRPr="009603EF">
        <w:rPr>
          <w:sz w:val="24"/>
          <w:szCs w:val="24"/>
        </w:rPr>
        <w:t xml:space="preserve"> use disorders,</w:t>
      </w:r>
      <w:r w:rsidR="008726AF" w:rsidRPr="009603EF">
        <w:rPr>
          <w:sz w:val="24"/>
          <w:szCs w:val="24"/>
        </w:rPr>
        <w:t xml:space="preserve"> and of trends</w:t>
      </w:r>
      <w:r w:rsidR="002A4B19" w:rsidRPr="009603EF">
        <w:rPr>
          <w:sz w:val="24"/>
          <w:szCs w:val="24"/>
        </w:rPr>
        <w:t xml:space="preserve"> </w:t>
      </w:r>
      <w:r w:rsidRPr="009603EF">
        <w:rPr>
          <w:sz w:val="24"/>
          <w:szCs w:val="24"/>
        </w:rPr>
        <w:t>in the trafficking of amphetamine, methamphetamine and ecstasy.</w:t>
      </w:r>
    </w:p>
    <w:p w:rsidR="00F833D0" w:rsidRPr="009603EF" w:rsidRDefault="00F833D0" w:rsidP="00F16E68">
      <w:pPr>
        <w:pStyle w:val="a3"/>
        <w:rPr>
          <w:sz w:val="24"/>
          <w:szCs w:val="24"/>
        </w:rPr>
      </w:pPr>
      <w:r w:rsidRPr="009603EF">
        <w:rPr>
          <w:sz w:val="24"/>
          <w:szCs w:val="24"/>
        </w:rPr>
        <w:lastRenderedPageBreak/>
        <w:t>Countries’ reporting of s</w:t>
      </w:r>
      <w:r w:rsidR="002529EF" w:rsidRPr="009603EF">
        <w:rPr>
          <w:sz w:val="24"/>
          <w:szCs w:val="24"/>
        </w:rPr>
        <w:t>uch trends are typically based on a multitude of indicators, including – in the case of drug use trends - general population prevalence data, school surveys, treatment data, emergency room visits,</w:t>
      </w:r>
      <w:r w:rsidR="002529EF" w:rsidRPr="0092693B">
        <w:t xml:space="preserve"> </w:t>
      </w:r>
      <w:r w:rsidR="002529EF" w:rsidRPr="009603EF">
        <w:rPr>
          <w:sz w:val="24"/>
          <w:szCs w:val="24"/>
        </w:rPr>
        <w:t>mortality data, reports by social workers, health care officials and law enforcement officers, arrest data, seizure data, media reports, etc..</w:t>
      </w:r>
    </w:p>
    <w:p w:rsidR="002529EF" w:rsidRPr="009603EF" w:rsidRDefault="002529EF" w:rsidP="00F16E68">
      <w:pPr>
        <w:pStyle w:val="a3"/>
        <w:rPr>
          <w:sz w:val="24"/>
          <w:szCs w:val="24"/>
        </w:rPr>
      </w:pPr>
      <w:r w:rsidRPr="009603EF">
        <w:rPr>
          <w:sz w:val="24"/>
          <w:szCs w:val="24"/>
        </w:rPr>
        <w:t>Based on this information</w:t>
      </w:r>
      <w:r w:rsidR="00F833D0" w:rsidRPr="009603EF">
        <w:rPr>
          <w:sz w:val="24"/>
          <w:szCs w:val="24"/>
        </w:rPr>
        <w:t>,</w:t>
      </w:r>
      <w:r w:rsidRPr="009603EF">
        <w:rPr>
          <w:sz w:val="24"/>
          <w:szCs w:val="24"/>
        </w:rPr>
        <w:t xml:space="preserve"> a simple index has been created. For reports of “large increase” 2 points were allocated, for “some increase” 1 point; for “stable” 0 points; for “some decrease” 1 point was deducted and for “large decrease” 2 points were deducted. The points calculated for each year were subsequently added to the accumulated points of the previous year to arrive at the respective trends perception index. </w:t>
      </w:r>
      <w:r w:rsidR="00A725BA" w:rsidRPr="009603EF">
        <w:rPr>
          <w:sz w:val="24"/>
          <w:szCs w:val="24"/>
        </w:rPr>
        <w:t xml:space="preserve">The year </w:t>
      </w:r>
      <w:r w:rsidRPr="009603EF">
        <w:rPr>
          <w:sz w:val="24"/>
          <w:szCs w:val="24"/>
        </w:rPr>
        <w:t>2010 w</w:t>
      </w:r>
      <w:r w:rsidR="00A725BA" w:rsidRPr="009603EF">
        <w:rPr>
          <w:sz w:val="24"/>
          <w:szCs w:val="24"/>
        </w:rPr>
        <w:t>as</w:t>
      </w:r>
      <w:r w:rsidRPr="009603EF">
        <w:rPr>
          <w:sz w:val="24"/>
          <w:szCs w:val="24"/>
        </w:rPr>
        <w:t>e chosen as the starting year of the respective index.</w:t>
      </w:r>
    </w:p>
    <w:p w:rsidR="002529EF" w:rsidRPr="009603EF" w:rsidRDefault="002529EF" w:rsidP="00F16E68">
      <w:pPr>
        <w:pStyle w:val="a3"/>
        <w:rPr>
          <w:sz w:val="24"/>
          <w:szCs w:val="24"/>
        </w:rPr>
      </w:pPr>
      <w:r w:rsidRPr="009603EF">
        <w:rPr>
          <w:sz w:val="24"/>
          <w:szCs w:val="24"/>
        </w:rPr>
        <w:t>Results of the calculation of the index based on qualitative information of cannabis use at the global level</w:t>
      </w:r>
      <w:r w:rsidR="00A725BA" w:rsidRPr="009603EF">
        <w:rPr>
          <w:sz w:val="24"/>
          <w:szCs w:val="24"/>
        </w:rPr>
        <w:t xml:space="preserve"> are</w:t>
      </w:r>
      <w:r w:rsidRPr="009603EF">
        <w:rPr>
          <w:sz w:val="24"/>
          <w:szCs w:val="24"/>
        </w:rPr>
        <w:t xml:space="preserve"> shown below:  </w:t>
      </w:r>
    </w:p>
    <w:p w:rsidR="002529EF" w:rsidRPr="009603EF" w:rsidRDefault="002529EF" w:rsidP="009603EF">
      <w:pPr>
        <w:rPr>
          <w:i/>
          <w:iCs/>
        </w:rPr>
      </w:pPr>
      <w:r w:rsidRPr="009603EF">
        <w:rPr>
          <w:i/>
          <w:iCs/>
        </w:rPr>
        <w:t>Example of calculation of qualitative information on trends in cannabis use at the global level, 2010-</w:t>
      </w:r>
      <w:r w:rsidR="0020496F">
        <w:rPr>
          <w:i/>
          <w:iCs/>
        </w:rPr>
        <w:t>2021</w:t>
      </w:r>
    </w:p>
    <w:tbl>
      <w:tblPr>
        <w:tblW w:w="4960" w:type="dxa"/>
        <w:jc w:val="center"/>
        <w:tblLook w:val="04A0"/>
      </w:tblPr>
      <w:tblGrid>
        <w:gridCol w:w="960"/>
        <w:gridCol w:w="1800"/>
        <w:gridCol w:w="2200"/>
      </w:tblGrid>
      <w:tr w:rsidR="00083862" w:rsidRPr="00083862" w:rsidTr="000238EF">
        <w:trPr>
          <w:trHeight w:val="945"/>
          <w:jc w:val="center"/>
        </w:trPr>
        <w:tc>
          <w:tcPr>
            <w:tcW w:w="96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083862" w:rsidRPr="00AA7203" w:rsidRDefault="00083862" w:rsidP="00083862">
            <w:pPr>
              <w:spacing w:before="0" w:line="240" w:lineRule="auto"/>
              <w:jc w:val="left"/>
              <w:rPr>
                <w:color w:val="000000"/>
                <w:sz w:val="20"/>
                <w:szCs w:val="20"/>
                <w:lang w:eastAsia="zh-CN"/>
              </w:rPr>
            </w:pPr>
            <w:r w:rsidRPr="00742CFD">
              <w:rPr>
                <w:color w:val="000000"/>
                <w:sz w:val="20"/>
                <w:szCs w:val="20"/>
                <w:lang w:eastAsia="zh-CN"/>
              </w:rPr>
              <w:t> </w:t>
            </w:r>
          </w:p>
        </w:tc>
        <w:tc>
          <w:tcPr>
            <w:tcW w:w="1800" w:type="dxa"/>
            <w:tcBorders>
              <w:top w:val="single" w:sz="8" w:space="0" w:color="auto"/>
              <w:left w:val="nil"/>
              <w:bottom w:val="single" w:sz="4" w:space="0" w:color="auto"/>
              <w:right w:val="single" w:sz="4"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Points</w:t>
            </w:r>
          </w:p>
        </w:tc>
        <w:tc>
          <w:tcPr>
            <w:tcW w:w="2200" w:type="dxa"/>
            <w:tcBorders>
              <w:top w:val="single" w:sz="8" w:space="0" w:color="auto"/>
              <w:left w:val="nil"/>
              <w:bottom w:val="single" w:sz="4" w:space="0" w:color="auto"/>
              <w:right w:val="single" w:sz="8" w:space="0" w:color="auto"/>
            </w:tcBorders>
            <w:shd w:val="clear" w:color="000000" w:fill="FFFFFF"/>
            <w:vAlign w:val="center"/>
            <w:hideMark/>
          </w:tcPr>
          <w:p w:rsidR="00083862" w:rsidRPr="009603EF" w:rsidRDefault="00083862" w:rsidP="00083862">
            <w:pPr>
              <w:spacing w:before="0" w:line="240" w:lineRule="auto"/>
              <w:jc w:val="left"/>
              <w:rPr>
                <w:color w:val="000000"/>
                <w:sz w:val="20"/>
                <w:szCs w:val="20"/>
                <w:lang w:eastAsia="zh-CN"/>
              </w:rPr>
            </w:pPr>
            <w:r w:rsidRPr="009603EF">
              <w:rPr>
                <w:sz w:val="20"/>
                <w:szCs w:val="20"/>
                <w:lang w:eastAsia="zh-CN"/>
              </w:rPr>
              <w:t>Cannabis use perception trend index (2010=0)</w:t>
            </w:r>
          </w:p>
        </w:tc>
      </w:tr>
      <w:tr w:rsidR="00083862" w:rsidRPr="00083862" w:rsidTr="000238EF">
        <w:trPr>
          <w:trHeight w:val="315"/>
          <w:jc w:val="center"/>
        </w:trPr>
        <w:tc>
          <w:tcPr>
            <w:tcW w:w="960" w:type="dxa"/>
            <w:tcBorders>
              <w:top w:val="nil"/>
              <w:left w:val="single" w:sz="8" w:space="0" w:color="auto"/>
              <w:bottom w:val="single" w:sz="4" w:space="0" w:color="auto"/>
              <w:right w:val="single" w:sz="4"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2010</w:t>
            </w:r>
          </w:p>
        </w:tc>
        <w:tc>
          <w:tcPr>
            <w:tcW w:w="1800" w:type="dxa"/>
            <w:tcBorders>
              <w:top w:val="nil"/>
              <w:left w:val="nil"/>
              <w:bottom w:val="single" w:sz="4" w:space="0" w:color="auto"/>
              <w:right w:val="single" w:sz="4" w:space="0" w:color="auto"/>
            </w:tcBorders>
            <w:shd w:val="clear" w:color="000000" w:fill="FFFFFF"/>
            <w:noWrap/>
            <w:vAlign w:val="bottom"/>
            <w:hideMark/>
          </w:tcPr>
          <w:p w:rsidR="00083862" w:rsidRPr="00AA7203" w:rsidRDefault="00083862" w:rsidP="00083862">
            <w:pPr>
              <w:spacing w:before="0" w:line="240" w:lineRule="auto"/>
              <w:jc w:val="left"/>
              <w:rPr>
                <w:color w:val="000000"/>
                <w:sz w:val="20"/>
                <w:szCs w:val="20"/>
                <w:lang w:eastAsia="zh-CN"/>
              </w:rPr>
            </w:pPr>
            <w:r w:rsidRPr="00742CFD">
              <w:rPr>
                <w:color w:val="000000"/>
                <w:sz w:val="20"/>
                <w:szCs w:val="20"/>
                <w:lang w:eastAsia="zh-CN"/>
              </w:rPr>
              <w:t> </w:t>
            </w:r>
          </w:p>
        </w:tc>
        <w:tc>
          <w:tcPr>
            <w:tcW w:w="2200" w:type="dxa"/>
            <w:tcBorders>
              <w:top w:val="nil"/>
              <w:left w:val="nil"/>
              <w:bottom w:val="single" w:sz="4" w:space="0" w:color="auto"/>
              <w:right w:val="single" w:sz="8"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0</w:t>
            </w:r>
          </w:p>
        </w:tc>
      </w:tr>
      <w:tr w:rsidR="00083862" w:rsidRPr="00083862" w:rsidTr="000238EF">
        <w:trPr>
          <w:trHeight w:val="315"/>
          <w:jc w:val="center"/>
        </w:trPr>
        <w:tc>
          <w:tcPr>
            <w:tcW w:w="960" w:type="dxa"/>
            <w:tcBorders>
              <w:top w:val="nil"/>
              <w:left w:val="single" w:sz="8" w:space="0" w:color="auto"/>
              <w:bottom w:val="single" w:sz="4" w:space="0" w:color="auto"/>
              <w:right w:val="single" w:sz="4"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2011</w:t>
            </w:r>
          </w:p>
        </w:tc>
        <w:tc>
          <w:tcPr>
            <w:tcW w:w="1800" w:type="dxa"/>
            <w:tcBorders>
              <w:top w:val="nil"/>
              <w:left w:val="nil"/>
              <w:bottom w:val="single" w:sz="4" w:space="0" w:color="auto"/>
              <w:right w:val="single" w:sz="4"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4</w:t>
            </w:r>
          </w:p>
        </w:tc>
        <w:tc>
          <w:tcPr>
            <w:tcW w:w="2200" w:type="dxa"/>
            <w:tcBorders>
              <w:top w:val="nil"/>
              <w:left w:val="nil"/>
              <w:bottom w:val="single" w:sz="4" w:space="0" w:color="auto"/>
              <w:right w:val="single" w:sz="8"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4</w:t>
            </w:r>
          </w:p>
        </w:tc>
      </w:tr>
      <w:tr w:rsidR="00083862" w:rsidRPr="00083862" w:rsidTr="000238EF">
        <w:trPr>
          <w:trHeight w:val="315"/>
          <w:jc w:val="center"/>
        </w:trPr>
        <w:tc>
          <w:tcPr>
            <w:tcW w:w="960" w:type="dxa"/>
            <w:tcBorders>
              <w:top w:val="nil"/>
              <w:left w:val="single" w:sz="8" w:space="0" w:color="auto"/>
              <w:bottom w:val="single" w:sz="4" w:space="0" w:color="auto"/>
              <w:right w:val="single" w:sz="4"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2012</w:t>
            </w:r>
          </w:p>
        </w:tc>
        <w:tc>
          <w:tcPr>
            <w:tcW w:w="1800" w:type="dxa"/>
            <w:tcBorders>
              <w:top w:val="nil"/>
              <w:left w:val="nil"/>
              <w:bottom w:val="single" w:sz="4" w:space="0" w:color="auto"/>
              <w:right w:val="single" w:sz="4"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9</w:t>
            </w:r>
          </w:p>
        </w:tc>
        <w:tc>
          <w:tcPr>
            <w:tcW w:w="2200" w:type="dxa"/>
            <w:tcBorders>
              <w:top w:val="nil"/>
              <w:left w:val="nil"/>
              <w:bottom w:val="single" w:sz="4" w:space="0" w:color="auto"/>
              <w:right w:val="single" w:sz="8"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13</w:t>
            </w:r>
          </w:p>
        </w:tc>
      </w:tr>
      <w:tr w:rsidR="00083862" w:rsidRPr="00083862" w:rsidTr="000238EF">
        <w:trPr>
          <w:trHeight w:val="315"/>
          <w:jc w:val="center"/>
        </w:trPr>
        <w:tc>
          <w:tcPr>
            <w:tcW w:w="960" w:type="dxa"/>
            <w:tcBorders>
              <w:top w:val="nil"/>
              <w:left w:val="single" w:sz="8" w:space="0" w:color="auto"/>
              <w:bottom w:val="single" w:sz="4" w:space="0" w:color="auto"/>
              <w:right w:val="single" w:sz="4"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2013</w:t>
            </w:r>
          </w:p>
        </w:tc>
        <w:tc>
          <w:tcPr>
            <w:tcW w:w="1800" w:type="dxa"/>
            <w:tcBorders>
              <w:top w:val="nil"/>
              <w:left w:val="nil"/>
              <w:bottom w:val="single" w:sz="4" w:space="0" w:color="auto"/>
              <w:right w:val="single" w:sz="4"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19</w:t>
            </w:r>
          </w:p>
        </w:tc>
        <w:tc>
          <w:tcPr>
            <w:tcW w:w="2200" w:type="dxa"/>
            <w:tcBorders>
              <w:top w:val="nil"/>
              <w:left w:val="nil"/>
              <w:bottom w:val="single" w:sz="4" w:space="0" w:color="auto"/>
              <w:right w:val="single" w:sz="8"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32</w:t>
            </w:r>
          </w:p>
        </w:tc>
      </w:tr>
      <w:tr w:rsidR="00083862" w:rsidRPr="00083862" w:rsidTr="000238EF">
        <w:trPr>
          <w:trHeight w:val="315"/>
          <w:jc w:val="center"/>
        </w:trPr>
        <w:tc>
          <w:tcPr>
            <w:tcW w:w="960" w:type="dxa"/>
            <w:tcBorders>
              <w:top w:val="nil"/>
              <w:left w:val="single" w:sz="8" w:space="0" w:color="auto"/>
              <w:bottom w:val="single" w:sz="4" w:space="0" w:color="auto"/>
              <w:right w:val="single" w:sz="4"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2014</w:t>
            </w:r>
          </w:p>
        </w:tc>
        <w:tc>
          <w:tcPr>
            <w:tcW w:w="1800" w:type="dxa"/>
            <w:tcBorders>
              <w:top w:val="nil"/>
              <w:left w:val="nil"/>
              <w:bottom w:val="single" w:sz="4" w:space="0" w:color="auto"/>
              <w:right w:val="single" w:sz="4"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22</w:t>
            </w:r>
          </w:p>
        </w:tc>
        <w:tc>
          <w:tcPr>
            <w:tcW w:w="2200" w:type="dxa"/>
            <w:tcBorders>
              <w:top w:val="nil"/>
              <w:left w:val="nil"/>
              <w:bottom w:val="single" w:sz="4" w:space="0" w:color="auto"/>
              <w:right w:val="single" w:sz="8"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54</w:t>
            </w:r>
          </w:p>
        </w:tc>
      </w:tr>
      <w:tr w:rsidR="00083862" w:rsidRPr="00083862" w:rsidTr="000238EF">
        <w:trPr>
          <w:trHeight w:val="315"/>
          <w:jc w:val="center"/>
        </w:trPr>
        <w:tc>
          <w:tcPr>
            <w:tcW w:w="960" w:type="dxa"/>
            <w:tcBorders>
              <w:top w:val="nil"/>
              <w:left w:val="single" w:sz="8" w:space="0" w:color="auto"/>
              <w:bottom w:val="single" w:sz="4" w:space="0" w:color="auto"/>
              <w:right w:val="single" w:sz="4"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2015</w:t>
            </w:r>
          </w:p>
        </w:tc>
        <w:tc>
          <w:tcPr>
            <w:tcW w:w="1800" w:type="dxa"/>
            <w:tcBorders>
              <w:top w:val="nil"/>
              <w:left w:val="nil"/>
              <w:bottom w:val="single" w:sz="4" w:space="0" w:color="auto"/>
              <w:right w:val="single" w:sz="4"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15</w:t>
            </w:r>
          </w:p>
        </w:tc>
        <w:tc>
          <w:tcPr>
            <w:tcW w:w="2200" w:type="dxa"/>
            <w:tcBorders>
              <w:top w:val="nil"/>
              <w:left w:val="nil"/>
              <w:bottom w:val="single" w:sz="4" w:space="0" w:color="auto"/>
              <w:right w:val="single" w:sz="8"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69</w:t>
            </w:r>
          </w:p>
        </w:tc>
      </w:tr>
      <w:tr w:rsidR="00083862" w:rsidRPr="00083862" w:rsidTr="000238EF">
        <w:trPr>
          <w:trHeight w:val="315"/>
          <w:jc w:val="center"/>
        </w:trPr>
        <w:tc>
          <w:tcPr>
            <w:tcW w:w="960" w:type="dxa"/>
            <w:tcBorders>
              <w:top w:val="nil"/>
              <w:left w:val="single" w:sz="8" w:space="0" w:color="auto"/>
              <w:bottom w:val="single" w:sz="4" w:space="0" w:color="auto"/>
              <w:right w:val="single" w:sz="4"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2016</w:t>
            </w:r>
          </w:p>
        </w:tc>
        <w:tc>
          <w:tcPr>
            <w:tcW w:w="1800" w:type="dxa"/>
            <w:tcBorders>
              <w:top w:val="nil"/>
              <w:left w:val="nil"/>
              <w:bottom w:val="single" w:sz="4" w:space="0" w:color="auto"/>
              <w:right w:val="single" w:sz="4"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34</w:t>
            </w:r>
          </w:p>
        </w:tc>
        <w:tc>
          <w:tcPr>
            <w:tcW w:w="2200" w:type="dxa"/>
            <w:tcBorders>
              <w:top w:val="nil"/>
              <w:left w:val="nil"/>
              <w:bottom w:val="single" w:sz="4" w:space="0" w:color="auto"/>
              <w:right w:val="single" w:sz="8"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103</w:t>
            </w:r>
          </w:p>
        </w:tc>
      </w:tr>
      <w:tr w:rsidR="00083862" w:rsidRPr="00083862" w:rsidTr="000238EF">
        <w:trPr>
          <w:trHeight w:val="315"/>
          <w:jc w:val="center"/>
        </w:trPr>
        <w:tc>
          <w:tcPr>
            <w:tcW w:w="960" w:type="dxa"/>
            <w:tcBorders>
              <w:top w:val="nil"/>
              <w:left w:val="single" w:sz="8" w:space="0" w:color="auto"/>
              <w:bottom w:val="single" w:sz="4" w:space="0" w:color="auto"/>
              <w:right w:val="single" w:sz="4"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2017</w:t>
            </w:r>
          </w:p>
        </w:tc>
        <w:tc>
          <w:tcPr>
            <w:tcW w:w="1800" w:type="dxa"/>
            <w:tcBorders>
              <w:top w:val="nil"/>
              <w:left w:val="nil"/>
              <w:bottom w:val="single" w:sz="4" w:space="0" w:color="auto"/>
              <w:right w:val="single" w:sz="4"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25</w:t>
            </w:r>
          </w:p>
        </w:tc>
        <w:tc>
          <w:tcPr>
            <w:tcW w:w="2200" w:type="dxa"/>
            <w:tcBorders>
              <w:top w:val="nil"/>
              <w:left w:val="nil"/>
              <w:bottom w:val="single" w:sz="4" w:space="0" w:color="auto"/>
              <w:right w:val="single" w:sz="8"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128</w:t>
            </w:r>
          </w:p>
        </w:tc>
      </w:tr>
      <w:tr w:rsidR="00083862" w:rsidRPr="00083862" w:rsidTr="000238EF">
        <w:trPr>
          <w:trHeight w:val="315"/>
          <w:jc w:val="center"/>
        </w:trPr>
        <w:tc>
          <w:tcPr>
            <w:tcW w:w="960" w:type="dxa"/>
            <w:tcBorders>
              <w:top w:val="nil"/>
              <w:left w:val="single" w:sz="8" w:space="0" w:color="auto"/>
              <w:bottom w:val="single" w:sz="4" w:space="0" w:color="auto"/>
              <w:right w:val="single" w:sz="4"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2018</w:t>
            </w:r>
          </w:p>
        </w:tc>
        <w:tc>
          <w:tcPr>
            <w:tcW w:w="1800" w:type="dxa"/>
            <w:tcBorders>
              <w:top w:val="nil"/>
              <w:left w:val="nil"/>
              <w:bottom w:val="single" w:sz="4" w:space="0" w:color="auto"/>
              <w:right w:val="single" w:sz="4"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35</w:t>
            </w:r>
          </w:p>
        </w:tc>
        <w:tc>
          <w:tcPr>
            <w:tcW w:w="2200" w:type="dxa"/>
            <w:tcBorders>
              <w:top w:val="nil"/>
              <w:left w:val="nil"/>
              <w:bottom w:val="single" w:sz="4" w:space="0" w:color="auto"/>
              <w:right w:val="single" w:sz="8"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163</w:t>
            </w:r>
          </w:p>
        </w:tc>
      </w:tr>
      <w:tr w:rsidR="00083862" w:rsidRPr="00083862" w:rsidTr="000238EF">
        <w:trPr>
          <w:trHeight w:val="315"/>
          <w:jc w:val="center"/>
        </w:trPr>
        <w:tc>
          <w:tcPr>
            <w:tcW w:w="960" w:type="dxa"/>
            <w:tcBorders>
              <w:top w:val="nil"/>
              <w:left w:val="single" w:sz="8" w:space="0" w:color="auto"/>
              <w:bottom w:val="single" w:sz="4" w:space="0" w:color="auto"/>
              <w:right w:val="single" w:sz="4"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2019</w:t>
            </w:r>
          </w:p>
        </w:tc>
        <w:tc>
          <w:tcPr>
            <w:tcW w:w="1800" w:type="dxa"/>
            <w:tcBorders>
              <w:top w:val="nil"/>
              <w:left w:val="nil"/>
              <w:bottom w:val="single" w:sz="4" w:space="0" w:color="auto"/>
              <w:right w:val="single" w:sz="4"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16</w:t>
            </w:r>
          </w:p>
        </w:tc>
        <w:tc>
          <w:tcPr>
            <w:tcW w:w="2200" w:type="dxa"/>
            <w:tcBorders>
              <w:top w:val="nil"/>
              <w:left w:val="nil"/>
              <w:bottom w:val="single" w:sz="4" w:space="0" w:color="auto"/>
              <w:right w:val="single" w:sz="8"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179</w:t>
            </w:r>
          </w:p>
        </w:tc>
      </w:tr>
      <w:tr w:rsidR="00083862" w:rsidRPr="00083862" w:rsidTr="004B6C86">
        <w:trPr>
          <w:trHeight w:val="330"/>
          <w:jc w:val="center"/>
        </w:trPr>
        <w:tc>
          <w:tcPr>
            <w:tcW w:w="960" w:type="dxa"/>
            <w:tcBorders>
              <w:top w:val="nil"/>
              <w:left w:val="single" w:sz="8" w:space="0" w:color="auto"/>
              <w:bottom w:val="nil"/>
              <w:right w:val="single" w:sz="4"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2020</w:t>
            </w:r>
          </w:p>
        </w:tc>
        <w:tc>
          <w:tcPr>
            <w:tcW w:w="1800" w:type="dxa"/>
            <w:tcBorders>
              <w:top w:val="nil"/>
              <w:left w:val="nil"/>
              <w:bottom w:val="nil"/>
              <w:right w:val="single" w:sz="4"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12</w:t>
            </w:r>
          </w:p>
        </w:tc>
        <w:tc>
          <w:tcPr>
            <w:tcW w:w="2200" w:type="dxa"/>
            <w:tcBorders>
              <w:top w:val="nil"/>
              <w:left w:val="nil"/>
              <w:bottom w:val="nil"/>
              <w:right w:val="single" w:sz="8" w:space="0" w:color="auto"/>
            </w:tcBorders>
            <w:shd w:val="clear" w:color="000000" w:fill="FFFFFF"/>
            <w:noWrap/>
            <w:vAlign w:val="center"/>
            <w:hideMark/>
          </w:tcPr>
          <w:p w:rsidR="00083862" w:rsidRPr="009603EF" w:rsidRDefault="00083862" w:rsidP="00083862">
            <w:pPr>
              <w:spacing w:before="0" w:line="240" w:lineRule="auto"/>
              <w:rPr>
                <w:color w:val="000000"/>
                <w:sz w:val="20"/>
                <w:szCs w:val="20"/>
                <w:lang w:eastAsia="zh-CN"/>
              </w:rPr>
            </w:pPr>
            <w:r w:rsidRPr="009603EF">
              <w:rPr>
                <w:sz w:val="20"/>
                <w:szCs w:val="20"/>
                <w:lang w:eastAsia="zh-CN"/>
              </w:rPr>
              <w:t>191</w:t>
            </w:r>
          </w:p>
        </w:tc>
      </w:tr>
      <w:tr w:rsidR="00B0141B" w:rsidRPr="00083862" w:rsidTr="000238EF">
        <w:trPr>
          <w:trHeight w:val="330"/>
          <w:jc w:val="center"/>
        </w:trPr>
        <w:tc>
          <w:tcPr>
            <w:tcW w:w="960" w:type="dxa"/>
            <w:tcBorders>
              <w:top w:val="nil"/>
              <w:left w:val="single" w:sz="8" w:space="0" w:color="auto"/>
              <w:bottom w:val="single" w:sz="8" w:space="0" w:color="auto"/>
              <w:right w:val="single" w:sz="4" w:space="0" w:color="auto"/>
            </w:tcBorders>
            <w:shd w:val="clear" w:color="000000" w:fill="FFFFFF"/>
            <w:noWrap/>
            <w:vAlign w:val="center"/>
          </w:tcPr>
          <w:p w:rsidR="00B0141B" w:rsidRPr="009603EF" w:rsidRDefault="00B0141B" w:rsidP="00083862">
            <w:pPr>
              <w:spacing w:before="0" w:line="240" w:lineRule="auto"/>
              <w:rPr>
                <w:sz w:val="20"/>
                <w:szCs w:val="20"/>
                <w:lang w:eastAsia="zh-CN"/>
              </w:rPr>
            </w:pPr>
            <w:r>
              <w:rPr>
                <w:sz w:val="20"/>
                <w:szCs w:val="20"/>
                <w:lang w:eastAsia="zh-CN"/>
              </w:rPr>
              <w:t>2021</w:t>
            </w:r>
          </w:p>
        </w:tc>
        <w:tc>
          <w:tcPr>
            <w:tcW w:w="1800" w:type="dxa"/>
            <w:tcBorders>
              <w:top w:val="nil"/>
              <w:left w:val="nil"/>
              <w:bottom w:val="single" w:sz="8" w:space="0" w:color="auto"/>
              <w:right w:val="single" w:sz="4" w:space="0" w:color="auto"/>
            </w:tcBorders>
            <w:shd w:val="clear" w:color="000000" w:fill="FFFFFF"/>
            <w:noWrap/>
            <w:vAlign w:val="center"/>
          </w:tcPr>
          <w:p w:rsidR="00B0141B" w:rsidRPr="009603EF" w:rsidRDefault="00B0141B" w:rsidP="00083862">
            <w:pPr>
              <w:spacing w:before="0" w:line="240" w:lineRule="auto"/>
              <w:rPr>
                <w:sz w:val="20"/>
                <w:szCs w:val="20"/>
                <w:lang w:eastAsia="zh-CN"/>
              </w:rPr>
            </w:pPr>
          </w:p>
        </w:tc>
        <w:tc>
          <w:tcPr>
            <w:tcW w:w="2200" w:type="dxa"/>
            <w:tcBorders>
              <w:top w:val="nil"/>
              <w:left w:val="nil"/>
              <w:bottom w:val="single" w:sz="8" w:space="0" w:color="auto"/>
              <w:right w:val="single" w:sz="8" w:space="0" w:color="auto"/>
            </w:tcBorders>
            <w:shd w:val="clear" w:color="000000" w:fill="FFFFFF"/>
            <w:noWrap/>
            <w:vAlign w:val="center"/>
          </w:tcPr>
          <w:p w:rsidR="00B0141B" w:rsidRPr="009603EF" w:rsidRDefault="00B0141B" w:rsidP="00083862">
            <w:pPr>
              <w:spacing w:before="0" w:line="240" w:lineRule="auto"/>
              <w:rPr>
                <w:sz w:val="20"/>
                <w:szCs w:val="20"/>
                <w:lang w:eastAsia="zh-CN"/>
              </w:rPr>
            </w:pPr>
          </w:p>
        </w:tc>
      </w:tr>
    </w:tbl>
    <w:p w:rsidR="00083862" w:rsidRPr="009603EF" w:rsidRDefault="00083862" w:rsidP="009603EF">
      <w:pPr>
        <w:spacing w:before="0" w:line="240" w:lineRule="auto"/>
        <w:rPr>
          <w:rStyle w:val="af1"/>
          <w:i w:val="0"/>
          <w:iCs w:val="0"/>
        </w:rPr>
      </w:pPr>
    </w:p>
    <w:p w:rsidR="002529EF" w:rsidRPr="0036585D" w:rsidRDefault="002529EF" w:rsidP="009603EF">
      <w:pPr>
        <w:pStyle w:val="Bullets"/>
        <w:numPr>
          <w:ilvl w:val="0"/>
          <w:numId w:val="0"/>
        </w:numPr>
        <w:spacing w:before="0" w:line="240" w:lineRule="auto"/>
      </w:pPr>
      <w:r w:rsidRPr="005B59EE">
        <w:rPr>
          <w:rFonts w:ascii="Times New Roman" w:hAnsi="Times New Roman"/>
          <w:sz w:val="20"/>
          <w:szCs w:val="20"/>
        </w:rPr>
        <w:t>Points allocated per country</w:t>
      </w:r>
      <w:r w:rsidR="00083862" w:rsidRPr="005B59EE">
        <w:rPr>
          <w:rFonts w:ascii="Times New Roman" w:hAnsi="Times New Roman"/>
          <w:sz w:val="20"/>
          <w:szCs w:val="20"/>
        </w:rPr>
        <w:t>:</w:t>
      </w:r>
      <w:r w:rsidRPr="005B59EE">
        <w:rPr>
          <w:rFonts w:ascii="Times New Roman" w:hAnsi="Times New Roman"/>
          <w:sz w:val="20"/>
          <w:szCs w:val="20"/>
        </w:rPr>
        <w:t xml:space="preserve"> “large increase”: 2 points; “</w:t>
      </w:r>
      <w:r w:rsidRPr="005B59EE" w:rsidDel="00DF181D">
        <w:rPr>
          <w:rFonts w:ascii="Times New Roman" w:hAnsi="Times New Roman"/>
          <w:sz w:val="20"/>
          <w:szCs w:val="20"/>
        </w:rPr>
        <w:t xml:space="preserve"> </w:t>
      </w:r>
      <w:r w:rsidRPr="005B59EE">
        <w:rPr>
          <w:rFonts w:ascii="Times New Roman" w:hAnsi="Times New Roman"/>
          <w:sz w:val="20"/>
          <w:szCs w:val="20"/>
        </w:rPr>
        <w:t>some increase”: 1 point; “stable”: 0; “some decrease”: -1 point; “large decline”: -2 points</w:t>
      </w:r>
      <w:r w:rsidRPr="0036585D">
        <w:t xml:space="preserve">   </w:t>
      </w:r>
    </w:p>
    <w:p w:rsidR="00375658" w:rsidRPr="009603EF" w:rsidRDefault="00375658" w:rsidP="009603EF">
      <w:pPr>
        <w:pStyle w:val="3"/>
      </w:pPr>
      <w:bookmarkStart w:id="65" w:name="_Toc108702218"/>
      <w:r w:rsidRPr="009603EF">
        <w:lastRenderedPageBreak/>
        <w:t>Trend in the treatment for cocaine use disorders (2010-</w:t>
      </w:r>
      <w:r w:rsidR="00FB3B8E">
        <w:t>2021</w:t>
      </w:r>
      <w:r w:rsidRPr="009603EF">
        <w:t>)</w:t>
      </w:r>
      <w:bookmarkEnd w:id="65"/>
    </w:p>
    <w:p w:rsidR="00375658" w:rsidRPr="009603EF" w:rsidRDefault="00C44432" w:rsidP="005B74E4">
      <w:pPr>
        <w:rPr>
          <w:lang w:val="en-US"/>
        </w:rPr>
      </w:pPr>
      <w:r>
        <w:rPr>
          <w:lang w:val="en-US"/>
        </w:rPr>
        <w:t xml:space="preserve">The online segment </w:t>
      </w:r>
      <w:r w:rsidR="00375658">
        <w:rPr>
          <w:lang w:val="en-US"/>
        </w:rPr>
        <w:t>reported</w:t>
      </w:r>
      <w:r w:rsidR="00FB3B8E">
        <w:rPr>
          <w:lang w:val="en-US"/>
        </w:rPr>
        <w:t xml:space="preserve">, inter alia, </w:t>
      </w:r>
      <w:r w:rsidR="00375658">
        <w:rPr>
          <w:lang w:val="en-US"/>
        </w:rPr>
        <w:t xml:space="preserve">trends in cocaine use and trend in the treatment for cocaine use disorders. The trend in the treatment for cocaine use disorders was calculated on the basis of reported numbers of treated persons due to the use of cocaine as their primary drug. Data were available from 26 countries, out of which 20 were from Europe (mostly Western and Central Europe), four were from the Americas and two countries were located in Asia. The full list of countries is as follows: </w:t>
      </w:r>
      <w:r w:rsidR="00375658" w:rsidRPr="009603EF">
        <w:rPr>
          <w:lang w:val="en-US"/>
        </w:rPr>
        <w:t>Austria, Belgium, Chile, Costa Rica, Croatia, Cyprus, Czechia, Greece, Indonesia, Italy, Lebanon, Luxembourg, Malta, Mexico, Netherlands (the), Norway, Poland, Portugal, Slovakia, Slovenia, Spain, Sweden,</w:t>
      </w:r>
      <w:r w:rsidR="00375658" w:rsidRPr="009603EF">
        <w:t xml:space="preserve"> </w:t>
      </w:r>
      <w:r w:rsidR="005B74E4" w:rsidRPr="009603EF">
        <w:rPr>
          <w:lang w:val="en-US"/>
        </w:rPr>
        <w:t>Türkiye</w:t>
      </w:r>
      <w:r w:rsidR="00375658" w:rsidRPr="009603EF">
        <w:t xml:space="preserve">, </w:t>
      </w:r>
      <w:r w:rsidR="00375658" w:rsidRPr="009603EF">
        <w:rPr>
          <w:lang w:val="en-US"/>
        </w:rPr>
        <w:t>Ukraine, United Kingdom of Great Britain and Northern Ireland (the), Uruguay. Between approximately 65,000 and 135,000 treated persons in total were included in the analysis each year.</w:t>
      </w:r>
    </w:p>
    <w:p w:rsidR="00375658" w:rsidRPr="004B6C86" w:rsidRDefault="00375658" w:rsidP="00375658">
      <w:r>
        <w:rPr>
          <w:lang w:val="en-US"/>
        </w:rPr>
        <w:t>Countries were included solely on the basis of available data with a rule that a maximum of two neighboring data points were allowed to be missing from the time series. In other words, countries with missing three or more neighboring data points in their time series were excluded from the analysis. Still, in some cases, data for the time interval 2020-2020 were incomplete. In these cases, interpolation was used. If one or two data points were missing between other data points, the method used to fill in the data gaps was geometric mean. If this was the case for the first or last data points in the time series, these were interpolated on the basis of holding the trend calculated from countries with available data, constant.</w:t>
      </w:r>
      <w:r w:rsidR="000275DA" w:rsidDel="000275DA">
        <w:rPr>
          <w:lang w:val="en-US"/>
        </w:rPr>
        <w:t xml:space="preserve"> </w:t>
      </w:r>
    </w:p>
    <w:p w:rsidR="002529EF" w:rsidRPr="00433A9E" w:rsidRDefault="00002F3C" w:rsidP="00F16E68">
      <w:pPr>
        <w:pStyle w:val="2"/>
      </w:pPr>
      <w:bookmarkStart w:id="66" w:name="_Toc108702219"/>
      <w:r w:rsidRPr="00DA42E3">
        <w:t>A</w:t>
      </w:r>
      <w:r w:rsidR="002529EF" w:rsidRPr="00DA42E3">
        <w:t>nalysis of drug consumption based on the analysis of</w:t>
      </w:r>
      <w:r w:rsidR="002529EF" w:rsidRPr="00433A9E">
        <w:t xml:space="preserve"> </w:t>
      </w:r>
      <w:r w:rsidR="002529EF" w:rsidRPr="00DA42E3">
        <w:t>wastewater</w:t>
      </w:r>
      <w:bookmarkEnd w:id="66"/>
    </w:p>
    <w:p w:rsidR="002529EF" w:rsidRPr="0036585D" w:rsidRDefault="002529EF" w:rsidP="002529EF">
      <w:pPr>
        <w:pStyle w:val="Pa0"/>
        <w:spacing w:before="180" w:line="360" w:lineRule="auto"/>
        <w:jc w:val="both"/>
        <w:rPr>
          <w:rStyle w:val="A12"/>
          <w:rFonts w:ascii="Times New Roman" w:hAnsi="Times New Roman" w:cs="Times New Roman"/>
          <w:sz w:val="24"/>
          <w:szCs w:val="24"/>
        </w:rPr>
      </w:pPr>
      <w:r w:rsidRPr="0036585D">
        <w:rPr>
          <w:rFonts w:ascii="Times New Roman" w:hAnsi="Times New Roman"/>
        </w:rPr>
        <w:t xml:space="preserve">The development of analytical tools and methods for the wastewater analysis took place in recent years in Europe by wastewater research institutes under the umbrella of the </w:t>
      </w:r>
      <w:r w:rsidR="003A53D8">
        <w:rPr>
          <w:rFonts w:ascii="Times New Roman" w:hAnsi="Times New Roman"/>
        </w:rPr>
        <w:t>SCORE</w:t>
      </w:r>
      <w:r w:rsidR="00083862">
        <w:rPr>
          <w:rFonts w:ascii="Times New Roman" w:hAnsi="Times New Roman"/>
        </w:rPr>
        <w:t xml:space="preserve"> </w:t>
      </w:r>
      <w:r w:rsidRPr="0036585D">
        <w:rPr>
          <w:rFonts w:ascii="Times New Roman" w:hAnsi="Times New Roman"/>
        </w:rPr>
        <w:t xml:space="preserve">initiative (Sewage Analysis CORe group Europe under the European Cooperation in Science and Technology initiative), supported by the European Union under the </w:t>
      </w:r>
      <w:r w:rsidRPr="0036585D">
        <w:rPr>
          <w:rStyle w:val="A12"/>
          <w:rFonts w:ascii="Times New Roman" w:hAnsi="Times New Roman" w:cs="Times New Roman"/>
          <w:sz w:val="24"/>
          <w:szCs w:val="24"/>
        </w:rPr>
        <w:t xml:space="preserve">EU Framework Programme Horizon 2020. Both EU and non-EU countries participate in this cooperation. </w:t>
      </w:r>
    </w:p>
    <w:p w:rsidR="002529EF" w:rsidRDefault="002529EF" w:rsidP="0052732D">
      <w:pPr>
        <w:pStyle w:val="Pa0"/>
        <w:spacing w:before="180" w:line="360" w:lineRule="auto"/>
        <w:jc w:val="both"/>
        <w:rPr>
          <w:rFonts w:ascii="Times New Roman" w:hAnsi="Times New Roman"/>
        </w:rPr>
      </w:pPr>
      <w:r w:rsidRPr="0036585D">
        <w:rPr>
          <w:rStyle w:val="A12"/>
          <w:rFonts w:ascii="Times New Roman" w:hAnsi="Times New Roman" w:cs="Times New Roman"/>
          <w:sz w:val="24"/>
          <w:szCs w:val="24"/>
        </w:rPr>
        <w:t xml:space="preserve">In order to obtain – as far as possible – comparable data, wastewater in various cities has been analysed by the research institutes participating in the </w:t>
      </w:r>
      <w:r w:rsidR="003A53D8">
        <w:rPr>
          <w:rFonts w:ascii="Times New Roman" w:hAnsi="Times New Roman"/>
        </w:rPr>
        <w:t>SCORE</w:t>
      </w:r>
      <w:r w:rsidRPr="0036585D">
        <w:rPr>
          <w:rStyle w:val="A12"/>
          <w:rFonts w:ascii="Times New Roman" w:hAnsi="Times New Roman" w:cs="Times New Roman"/>
          <w:sz w:val="24"/>
          <w:szCs w:val="24"/>
        </w:rPr>
        <w:t xml:space="preserve">exercise over a one-week </w:t>
      </w:r>
      <w:r w:rsidRPr="0036585D">
        <w:rPr>
          <w:rStyle w:val="A12"/>
          <w:rFonts w:ascii="Times New Roman" w:hAnsi="Times New Roman" w:cs="Times New Roman"/>
          <w:sz w:val="24"/>
          <w:szCs w:val="24"/>
        </w:rPr>
        <w:lastRenderedPageBreak/>
        <w:t xml:space="preserve">period each year in spring. </w:t>
      </w:r>
      <w:r w:rsidRPr="00433A9E">
        <w:rPr>
          <w:rFonts w:ascii="Times New Roman" w:hAnsi="Times New Roman"/>
        </w:rPr>
        <w:t xml:space="preserve">The analysis was done for </w:t>
      </w:r>
      <w:r w:rsidRPr="00A36ED5">
        <w:rPr>
          <w:rFonts w:ascii="Times New Roman" w:hAnsi="Times New Roman"/>
        </w:rPr>
        <w:t xml:space="preserve">the main </w:t>
      </w:r>
      <w:r w:rsidRPr="00AF6092">
        <w:rPr>
          <w:rFonts w:ascii="Times New Roman" w:hAnsi="Times New Roman"/>
        </w:rPr>
        <w:t>cocai</w:t>
      </w:r>
      <w:r>
        <w:rPr>
          <w:rFonts w:ascii="Times New Roman" w:hAnsi="Times New Roman"/>
        </w:rPr>
        <w:t>n</w:t>
      </w:r>
      <w:r w:rsidRPr="00433A9E">
        <w:rPr>
          <w:rFonts w:ascii="Times New Roman" w:hAnsi="Times New Roman"/>
        </w:rPr>
        <w:t>e metabolite (benzoylecgonine) as well as for amphetamine</w:t>
      </w:r>
      <w:r>
        <w:rPr>
          <w:rFonts w:ascii="Times New Roman" w:hAnsi="Times New Roman"/>
        </w:rPr>
        <w:t>,</w:t>
      </w:r>
      <w:r w:rsidRPr="00433A9E">
        <w:rPr>
          <w:rFonts w:ascii="Times New Roman" w:hAnsi="Times New Roman"/>
        </w:rPr>
        <w:t xml:space="preserve"> methamphetamine</w:t>
      </w:r>
      <w:r>
        <w:rPr>
          <w:rFonts w:ascii="Times New Roman" w:hAnsi="Times New Roman"/>
        </w:rPr>
        <w:t xml:space="preserve"> and MDMA</w:t>
      </w:r>
      <w:r w:rsidRPr="00433A9E">
        <w:rPr>
          <w:rFonts w:ascii="Times New Roman" w:hAnsi="Times New Roman"/>
        </w:rPr>
        <w:t xml:space="preserve">. </w:t>
      </w:r>
    </w:p>
    <w:p w:rsidR="003A53D8" w:rsidRPr="009603EF" w:rsidRDefault="003A53D8" w:rsidP="009603EF">
      <w:pPr>
        <w:pStyle w:val="Default"/>
        <w:rPr>
          <w:lang w:val="en-GB" w:eastAsia="en-GB"/>
        </w:rPr>
      </w:pPr>
    </w:p>
    <w:p w:rsidR="00527E95" w:rsidRDefault="002529EF" w:rsidP="003A53D8">
      <w:r>
        <w:t>Such wastewater analyses to determine the extent of drug consumption took place in overall</w:t>
      </w:r>
      <w:r w:rsidR="00260D2B">
        <w:t xml:space="preserve"> </w:t>
      </w:r>
      <w:r w:rsidR="00D72D5C">
        <w:t xml:space="preserve">more than 240 </w:t>
      </w:r>
      <w:r w:rsidR="005C4E4E">
        <w:t xml:space="preserve"> w</w:t>
      </w:r>
      <w:r w:rsidR="003A53D8">
        <w:t>aste-water treatment sites over the period 2011-202</w:t>
      </w:r>
      <w:r w:rsidR="00260D2B">
        <w:t>2</w:t>
      </w:r>
      <w:r w:rsidR="003A53D8">
        <w:t xml:space="preserve"> participating in the SCORE exercise across the globe, located in more than 175 cities in 41 countries</w:t>
      </w:r>
      <w:r w:rsidR="003A53D8">
        <w:rPr>
          <w:rStyle w:val="a4"/>
        </w:rPr>
        <w:footnoteReference w:id="9"/>
      </w:r>
      <w:r w:rsidR="003A53D8">
        <w:t xml:space="preserve">. </w:t>
      </w:r>
    </w:p>
    <w:p w:rsidR="000042A9" w:rsidRDefault="000042A9" w:rsidP="000042A9">
      <w:r>
        <w:t xml:space="preserve">There is, however, a problem of how to deal with sites which used to report in the past but did not report any longer in recent years. In order to reduce a potential bias in the calculation of recent trends due to missing data, only a subset of these data </w:t>
      </w:r>
      <w:r w:rsidR="002A01EC">
        <w:t>was</w:t>
      </w:r>
      <w:r>
        <w:t xml:space="preserve"> used for such a trend analysis of the various drugs in Europe. Only sites which, in principle, agreed to participate in the SCORE exercise of 2022 were included in the trend calculations</w:t>
      </w:r>
      <w:r w:rsidR="00A07E78">
        <w:t xml:space="preserve">; such cities </w:t>
      </w:r>
      <w:r w:rsidR="0086064F">
        <w:t xml:space="preserve">happened to be </w:t>
      </w:r>
      <w:r>
        <w:t>equivalent to cities which reported at least one result over the 2020-2022 period</w:t>
      </w:r>
      <w:r w:rsidR="00B738F0">
        <w:t xml:space="preserve"> (a similar approach as taken in last year’s World Drug Report)</w:t>
      </w:r>
      <w:r>
        <w:t>.</w:t>
      </w:r>
      <w:r>
        <w:rPr>
          <w:rStyle w:val="a4"/>
        </w:rPr>
        <w:footnoteReference w:id="10"/>
      </w:r>
    </w:p>
    <w:p w:rsidR="008434CB" w:rsidRDefault="00F22A1D" w:rsidP="003A53D8">
      <w:r>
        <w:t xml:space="preserve">The </w:t>
      </w:r>
      <w:r w:rsidR="005720E5">
        <w:t xml:space="preserve">trend </w:t>
      </w:r>
      <w:r>
        <w:t xml:space="preserve">analysis in </w:t>
      </w:r>
      <w:r w:rsidR="00C6407D">
        <w:t xml:space="preserve">the 2023 </w:t>
      </w:r>
      <w:r>
        <w:t>World Drug Report was</w:t>
      </w:r>
      <w:r w:rsidR="000042A9">
        <w:t xml:space="preserve"> thus</w:t>
      </w:r>
      <w:r>
        <w:t xml:space="preserve"> </w:t>
      </w:r>
      <w:r w:rsidR="00552B94">
        <w:t xml:space="preserve">conducted on a subsample </w:t>
      </w:r>
      <w:r w:rsidR="00417644">
        <w:t xml:space="preserve">of </w:t>
      </w:r>
      <w:r w:rsidR="00AF5C01">
        <w:t>13</w:t>
      </w:r>
      <w:r w:rsidR="000F4F7E">
        <w:t>5</w:t>
      </w:r>
      <w:r w:rsidR="00AF5C01">
        <w:t xml:space="preserve"> </w:t>
      </w:r>
      <w:r w:rsidR="004F68E2">
        <w:t xml:space="preserve">waste-water treatment </w:t>
      </w:r>
      <w:r w:rsidR="00AF5C01">
        <w:t>sites</w:t>
      </w:r>
      <w:r w:rsidR="004122A8">
        <w:t>, located</w:t>
      </w:r>
      <w:r w:rsidR="00C603E5">
        <w:t xml:space="preserve"> </w:t>
      </w:r>
      <w:r w:rsidR="004122A8">
        <w:t>in 119 cities in 26 countries</w:t>
      </w:r>
      <w:r w:rsidR="00E846F2">
        <w:t xml:space="preserve"> of Western</w:t>
      </w:r>
      <w:r w:rsidR="005C06D6">
        <w:t>,</w:t>
      </w:r>
      <w:r w:rsidR="00E846F2">
        <w:t xml:space="preserve"> Central and South-Eastern Europe</w:t>
      </w:r>
      <w:r w:rsidR="005C06D6">
        <w:t xml:space="preserve"> (</w:t>
      </w:r>
      <w:r w:rsidR="00A16A63">
        <w:t>i.e.</w:t>
      </w:r>
      <w:r w:rsidR="00D11118">
        <w:t xml:space="preserve"> in cities of</w:t>
      </w:r>
      <w:r w:rsidR="00A16A63">
        <w:t xml:space="preserve"> </w:t>
      </w:r>
      <w:r w:rsidR="005C06D6">
        <w:t xml:space="preserve">Austria, </w:t>
      </w:r>
      <w:r w:rsidR="00975411">
        <w:t xml:space="preserve">Belgium, </w:t>
      </w:r>
      <w:r w:rsidR="007863E0">
        <w:t xml:space="preserve">Croatia, </w:t>
      </w:r>
      <w:r w:rsidR="00975411">
        <w:t xml:space="preserve">Cyprus, Czechia, </w:t>
      </w:r>
      <w:r w:rsidR="00F52A1A">
        <w:t>Denmark,</w:t>
      </w:r>
      <w:r w:rsidR="00975411">
        <w:t xml:space="preserve"> </w:t>
      </w:r>
      <w:r w:rsidR="007863E0">
        <w:t xml:space="preserve">Estonia, Finland, France, </w:t>
      </w:r>
      <w:r w:rsidR="00157789">
        <w:t>Germany,</w:t>
      </w:r>
      <w:r w:rsidR="00BC30EE">
        <w:t xml:space="preserve"> Greece,</w:t>
      </w:r>
      <w:r w:rsidR="00157789">
        <w:t xml:space="preserve"> </w:t>
      </w:r>
      <w:r w:rsidR="000A5342">
        <w:t xml:space="preserve">Iceland, </w:t>
      </w:r>
      <w:r w:rsidR="007863E0">
        <w:t xml:space="preserve">Italy, </w:t>
      </w:r>
      <w:r w:rsidR="0069340E">
        <w:t xml:space="preserve">Latvia, </w:t>
      </w:r>
      <w:r w:rsidR="007863E0">
        <w:t xml:space="preserve">Lithuania, </w:t>
      </w:r>
      <w:r w:rsidR="00341BC9">
        <w:t xml:space="preserve">Netherlands (Kingdom of the), </w:t>
      </w:r>
      <w:r w:rsidR="0069340E">
        <w:t xml:space="preserve">Norway, </w:t>
      </w:r>
      <w:r w:rsidR="00341BC9">
        <w:t xml:space="preserve">Poland, </w:t>
      </w:r>
      <w:r w:rsidR="0069340E">
        <w:t xml:space="preserve">Portugal, </w:t>
      </w:r>
      <w:r w:rsidR="00093486">
        <w:t xml:space="preserve">Slovenia, Slovakia, </w:t>
      </w:r>
      <w:r w:rsidR="00157789">
        <w:t>Spain,</w:t>
      </w:r>
      <w:r w:rsidR="0047250E">
        <w:t xml:space="preserve"> Sweden, </w:t>
      </w:r>
      <w:r w:rsidR="00157789">
        <w:t xml:space="preserve"> </w:t>
      </w:r>
      <w:r w:rsidR="00975411">
        <w:t xml:space="preserve">Switzerland, </w:t>
      </w:r>
      <w:r w:rsidR="0047250E">
        <w:t>Türkiye</w:t>
      </w:r>
      <w:r w:rsidR="00093486">
        <w:t xml:space="preserve"> and </w:t>
      </w:r>
      <w:r w:rsidR="00E304F3">
        <w:t xml:space="preserve">the </w:t>
      </w:r>
      <w:r w:rsidR="00093486">
        <w:t>United Kingdom)</w:t>
      </w:r>
      <w:r w:rsidR="004122A8">
        <w:t>.</w:t>
      </w:r>
    </w:p>
    <w:p w:rsidR="005520C4" w:rsidRDefault="00903F07" w:rsidP="003A53D8">
      <w:r>
        <w:t xml:space="preserve">The waste-water sites </w:t>
      </w:r>
      <w:r w:rsidR="00102FD4">
        <w:t xml:space="preserve">in these </w:t>
      </w:r>
      <w:r w:rsidR="003A53D8">
        <w:t xml:space="preserve">cities had an aggregate population of </w:t>
      </w:r>
      <w:r w:rsidR="00B444CA">
        <w:t>5</w:t>
      </w:r>
      <w:r w:rsidR="00A416A1">
        <w:t>9</w:t>
      </w:r>
      <w:r w:rsidR="00B444CA">
        <w:t xml:space="preserve"> </w:t>
      </w:r>
      <w:r w:rsidR="003A53D8">
        <w:t xml:space="preserve"> million people in </w:t>
      </w:r>
      <w:r w:rsidR="00B444CA">
        <w:t xml:space="preserve">2022 </w:t>
      </w:r>
      <w:r w:rsidR="003A53D8">
        <w:t xml:space="preserve"> and accounted </w:t>
      </w:r>
      <w:r w:rsidR="00FA1356">
        <w:t xml:space="preserve">overall </w:t>
      </w:r>
      <w:r w:rsidR="003A53D8">
        <w:t>for</w:t>
      </w:r>
      <w:r w:rsidR="00984345">
        <w:t xml:space="preserve"> slightly more than</w:t>
      </w:r>
      <w:r w:rsidR="003A53D8">
        <w:t xml:space="preserve"> </w:t>
      </w:r>
      <w:r w:rsidR="0075621A">
        <w:t>10</w:t>
      </w:r>
      <w:r w:rsidR="003A53D8">
        <w:t xml:space="preserve"> per cent of the total population of the</w:t>
      </w:r>
      <w:r w:rsidR="000501E4">
        <w:t xml:space="preserve"> 26</w:t>
      </w:r>
      <w:r w:rsidR="003A53D8">
        <w:t xml:space="preserve"> European countries participating in SCORE</w:t>
      </w:r>
      <w:r w:rsidR="00E45E08">
        <w:t xml:space="preserve"> over the 2020</w:t>
      </w:r>
      <w:r w:rsidR="00E45E08">
        <w:rPr>
          <w:rFonts w:ascii="Calibri" w:hAnsi="Calibri" w:cs="Calibri"/>
        </w:rPr>
        <w:t>‒</w:t>
      </w:r>
      <w:r w:rsidR="00E45E08">
        <w:t xml:space="preserve">2022 period </w:t>
      </w:r>
      <w:r w:rsidR="003A53D8">
        <w:t xml:space="preserve">  </w:t>
      </w:r>
    </w:p>
    <w:p w:rsidR="00653470" w:rsidRDefault="003A53D8" w:rsidP="003A53D8">
      <w:r>
        <w:t xml:space="preserve">Participation varied, however, strongly across </w:t>
      </w:r>
      <w:r w:rsidR="00607414">
        <w:t xml:space="preserve">the European </w:t>
      </w:r>
      <w:r>
        <w:t xml:space="preserve">countries, ranging from </w:t>
      </w:r>
      <w:r w:rsidR="001A7DA0">
        <w:t xml:space="preserve">1 per cent </w:t>
      </w:r>
      <w:r w:rsidR="00236708">
        <w:t xml:space="preserve">of the country’s total population </w:t>
      </w:r>
      <w:r w:rsidR="001A7DA0">
        <w:t xml:space="preserve">in France and the United Kingdom </w:t>
      </w:r>
      <w:r>
        <w:t>to</w:t>
      </w:r>
      <w:r w:rsidR="00023915">
        <w:t xml:space="preserve"> 59 per cent in </w:t>
      </w:r>
      <w:r w:rsidR="00023915">
        <w:lastRenderedPageBreak/>
        <w:t>Austria</w:t>
      </w:r>
      <w:r w:rsidR="00797517">
        <w:t>, followe</w:t>
      </w:r>
      <w:r w:rsidR="00F753F6">
        <w:t xml:space="preserve">d by Finland (58 per cent), Estonia (52 per cent) and Latvia (46 per cent).  </w:t>
      </w:r>
      <w:r>
        <w:t xml:space="preserve">h </w:t>
      </w:r>
      <w:r w:rsidR="00F753F6">
        <w:t xml:space="preserve">The </w:t>
      </w:r>
      <w:r>
        <w:t xml:space="preserve">median </w:t>
      </w:r>
      <w:r w:rsidR="00F753F6">
        <w:t xml:space="preserve">amounted to </w:t>
      </w:r>
      <w:r w:rsidR="00D93EDC">
        <w:t xml:space="preserve">15 </w:t>
      </w:r>
      <w:r>
        <w:t xml:space="preserve"> per cent </w:t>
      </w:r>
      <w:r w:rsidR="00E30777">
        <w:t xml:space="preserve">with an </w:t>
      </w:r>
      <w:r>
        <w:t xml:space="preserve">inter-quartile range from </w:t>
      </w:r>
      <w:r w:rsidR="00345F69">
        <w:t>8</w:t>
      </w:r>
      <w:r w:rsidR="00911D1C">
        <w:t xml:space="preserve"> to 33 </w:t>
      </w:r>
      <w:r>
        <w:t>per cent.</w:t>
      </w:r>
      <w:r>
        <w:rPr>
          <w:rStyle w:val="a4"/>
        </w:rPr>
        <w:footnoteReference w:id="11"/>
      </w:r>
      <w:r>
        <w:t xml:space="preserve"> </w:t>
      </w:r>
    </w:p>
    <w:p w:rsidR="00257AB7" w:rsidRDefault="00257AB7" w:rsidP="003A53D8">
      <w:r>
        <w:t xml:space="preserve">Proportion of population covered by waste-water </w:t>
      </w:r>
      <w:r w:rsidR="00483803">
        <w:t>analysis, 2020-2022</w:t>
      </w:r>
    </w:p>
    <w:p w:rsidR="007F45CF" w:rsidRDefault="00520862" w:rsidP="00257AB7">
      <w:pPr>
        <w:jc w:val="center"/>
      </w:pPr>
      <w:r>
        <w:rPr>
          <w:noProof/>
          <w:lang w:val="en-US" w:eastAsia="zh-CN"/>
        </w:rPr>
        <w:drawing>
          <wp:inline distT="0" distB="0" distL="0" distR="0">
            <wp:extent cx="4572000" cy="2743200"/>
            <wp:effectExtent l="0" t="0" r="0" b="0"/>
            <wp:docPr id="38" name="Chart 3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A3B0DFE-8804-A450-9860-CA9760347F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D210C" w:rsidRDefault="008D210C" w:rsidP="008D210C">
      <w:r>
        <w:rPr>
          <w:sz w:val="18"/>
          <w:szCs w:val="18"/>
        </w:rPr>
        <w:t>Source: UNODC calculations based on wastewater data provided by Sewage Analysis CORe group Europe (SCORE).</w:t>
      </w:r>
    </w:p>
    <w:p w:rsidR="003A53D8" w:rsidRDefault="00653470" w:rsidP="001D7618">
      <w:r>
        <w:t xml:space="preserve">There was a general increase in the number of </w:t>
      </w:r>
      <w:r w:rsidR="001D7618">
        <w:t xml:space="preserve">waste-water treatment sites providing data over the last decade. </w:t>
      </w:r>
      <w:r w:rsidR="003A53D8">
        <w:t xml:space="preserve">The number of </w:t>
      </w:r>
      <w:r w:rsidR="004018DC">
        <w:t xml:space="preserve">waste-water treatment </w:t>
      </w:r>
      <w:r w:rsidR="003A53D8">
        <w:t>sites providing data on benzoylecgonine in Europe</w:t>
      </w:r>
      <w:r w:rsidR="006A200A">
        <w:t xml:space="preserve"> in recent years</w:t>
      </w:r>
      <w:r w:rsidR="00534400">
        <w:t>, for instance,</w:t>
      </w:r>
      <w:r w:rsidR="00A4709F">
        <w:t xml:space="preserve"> </w:t>
      </w:r>
      <w:r w:rsidR="004556C4">
        <w:t>rose from 13 in 2011</w:t>
      </w:r>
      <w:r w:rsidR="003A53D8">
        <w:t xml:space="preserve"> </w:t>
      </w:r>
      <w:r w:rsidR="004018DC">
        <w:t>t</w:t>
      </w:r>
      <w:r w:rsidR="004556C4">
        <w:t>o</w:t>
      </w:r>
      <w:r w:rsidR="004018DC">
        <w:t xml:space="preserve"> 64 in 2020, 78 in 2021 and 109 in 2022.</w:t>
      </w:r>
      <w:r w:rsidR="004556C4">
        <w:t xml:space="preserve"> </w:t>
      </w:r>
    </w:p>
    <w:p w:rsidR="002529EF" w:rsidRPr="0036585D" w:rsidRDefault="002529EF" w:rsidP="004B6C86">
      <w:r>
        <w:rPr>
          <w:rStyle w:val="A12"/>
          <w:rFonts w:cs="Times New Roman"/>
          <w:sz w:val="24"/>
          <w:szCs w:val="24"/>
        </w:rPr>
        <w:t xml:space="preserve">The approach used is further exemplified for the case of benzoylecgonine, the main cocaine metabolite found in wastewater. </w:t>
      </w:r>
      <w:r w:rsidRPr="0036585D">
        <w:rPr>
          <w:rStyle w:val="A12"/>
          <w:rFonts w:cs="Times New Roman"/>
          <w:sz w:val="24"/>
          <w:szCs w:val="24"/>
        </w:rPr>
        <w:t xml:space="preserve">The amount of benzoylecgonine found each day in the waste-water was determined and a daily average was calculated. This is important as cocaine use </w:t>
      </w:r>
      <w:r>
        <w:rPr>
          <w:rStyle w:val="A12"/>
          <w:rFonts w:cs="Times New Roman"/>
          <w:sz w:val="24"/>
          <w:szCs w:val="24"/>
        </w:rPr>
        <w:t xml:space="preserve">(similar to the use of MDMA or amphetamine) </w:t>
      </w:r>
      <w:r w:rsidRPr="0036585D">
        <w:rPr>
          <w:rStyle w:val="A12"/>
          <w:rFonts w:cs="Times New Roman"/>
          <w:sz w:val="24"/>
          <w:szCs w:val="24"/>
        </w:rPr>
        <w:t xml:space="preserve">is typically more widespread during the weekend than during normal weak days. In a subsequent step the size of the population responsible for the wastewater in the respective wastewater catchment areas was determined </w:t>
      </w:r>
      <w:r w:rsidRPr="0036585D">
        <w:rPr>
          <w:rStyle w:val="A12"/>
          <w:rFonts w:cs="Times New Roman"/>
          <w:sz w:val="24"/>
          <w:szCs w:val="24"/>
        </w:rPr>
        <w:lastRenderedPageBreak/>
        <w:t>and the results were shown in terms of average milligrams of benzoylecgonine (a main cocaine metabolite) per day found in waste-water per 1000 inhabitants</w:t>
      </w:r>
      <w:r w:rsidR="006E7CCB">
        <w:rPr>
          <w:rStyle w:val="a4"/>
          <w:color w:val="000000"/>
        </w:rPr>
        <w:footnoteReference w:id="12"/>
      </w:r>
      <w:r w:rsidRPr="0036585D">
        <w:rPr>
          <w:rStyle w:val="A12"/>
          <w:rFonts w:cs="Times New Roman"/>
          <w:sz w:val="24"/>
          <w:szCs w:val="24"/>
        </w:rPr>
        <w:t xml:space="preserve">.  </w:t>
      </w:r>
      <w:r w:rsidRPr="0036585D">
        <w:t xml:space="preserve"> </w:t>
      </w:r>
    </w:p>
    <w:p w:rsidR="002529EF" w:rsidRDefault="002529EF" w:rsidP="002529EF">
      <w:pPr>
        <w:pStyle w:val="Default"/>
        <w:spacing w:before="180" w:line="360" w:lineRule="auto"/>
        <w:jc w:val="both"/>
        <w:rPr>
          <w:rFonts w:ascii="Times New Roman" w:hAnsi="Times New Roman" w:cs="Times New Roman"/>
          <w:lang w:val="en-GB" w:eastAsia="en-GB"/>
        </w:rPr>
      </w:pPr>
      <w:r w:rsidRPr="0092693B">
        <w:rPr>
          <w:rFonts w:ascii="Times New Roman" w:hAnsi="Times New Roman" w:cs="Times New Roman"/>
          <w:lang w:val="en-GB" w:eastAsia="en-GB"/>
        </w:rPr>
        <w:t xml:space="preserve">Even though the results from the analysis of wastewater have been obtained applying high levels of scientific rigour, the subsequent analysis of the </w:t>
      </w:r>
      <w:r w:rsidRPr="0085745A">
        <w:rPr>
          <w:rFonts w:ascii="Times New Roman" w:hAnsi="Times New Roman" w:cs="Times New Roman"/>
          <w:lang w:val="en-GB" w:eastAsia="en-GB"/>
        </w:rPr>
        <w:t>trends at the European level has remained</w:t>
      </w:r>
      <w:r w:rsidRPr="002E1D6F">
        <w:rPr>
          <w:rFonts w:ascii="Times New Roman" w:hAnsi="Times New Roman" w:cs="Times New Roman"/>
          <w:lang w:val="en-GB" w:eastAsia="en-GB"/>
        </w:rPr>
        <w:t xml:space="preserve"> </w:t>
      </w:r>
      <w:r w:rsidRPr="0036585D">
        <w:rPr>
          <w:rFonts w:ascii="Times New Roman" w:hAnsi="Times New Roman" w:cs="Times New Roman"/>
          <w:lang w:val="en-GB" w:eastAsia="en-GB"/>
        </w:rPr>
        <w:t>a challenge due to the fact that different cities across Europe took part in this exercise in different years over the</w:t>
      </w:r>
      <w:r>
        <w:rPr>
          <w:rFonts w:ascii="Times New Roman" w:hAnsi="Times New Roman" w:cs="Times New Roman"/>
          <w:lang w:val="en-GB" w:eastAsia="en-GB"/>
        </w:rPr>
        <w:t xml:space="preserve"> period</w:t>
      </w:r>
      <w:r w:rsidRPr="0036585D">
        <w:rPr>
          <w:rFonts w:ascii="Times New Roman" w:hAnsi="Times New Roman" w:cs="Times New Roman"/>
          <w:lang w:val="en-GB" w:eastAsia="en-GB"/>
        </w:rPr>
        <w:t xml:space="preserve"> </w:t>
      </w:r>
      <w:r>
        <w:rPr>
          <w:rFonts w:ascii="Times New Roman" w:hAnsi="Times New Roman" w:cs="Times New Roman"/>
          <w:lang w:val="en-GB" w:eastAsia="en-GB"/>
        </w:rPr>
        <w:t xml:space="preserve">2011 ̶ </w:t>
      </w:r>
      <w:r w:rsidR="005E7D01">
        <w:rPr>
          <w:rFonts w:ascii="Times New Roman" w:hAnsi="Times New Roman" w:cs="Times New Roman"/>
          <w:lang w:val="en-GB" w:eastAsia="en-GB"/>
        </w:rPr>
        <w:t>2022</w:t>
      </w:r>
      <w:r w:rsidR="005E7D01" w:rsidRPr="0036585D">
        <w:rPr>
          <w:rFonts w:ascii="Times New Roman" w:hAnsi="Times New Roman" w:cs="Times New Roman"/>
          <w:lang w:val="en-GB" w:eastAsia="en-GB"/>
        </w:rPr>
        <w:t xml:space="preserve"> </w:t>
      </w:r>
      <w:r w:rsidRPr="0036585D">
        <w:rPr>
          <w:rFonts w:ascii="Times New Roman" w:hAnsi="Times New Roman" w:cs="Times New Roman"/>
          <w:lang w:val="en-GB" w:eastAsia="en-GB"/>
        </w:rPr>
        <w:t>and differences of cocaine consumption across European cities continue to be quite significant. This means that the inclusion or the exclusion of a specific city can have a significant impact on the overall average.</w:t>
      </w:r>
    </w:p>
    <w:p w:rsidR="00CA774F" w:rsidRPr="0036585D" w:rsidRDefault="00CA774F" w:rsidP="002529EF">
      <w:pPr>
        <w:pStyle w:val="Default"/>
        <w:spacing w:before="180" w:line="360" w:lineRule="auto"/>
        <w:jc w:val="both"/>
        <w:rPr>
          <w:rFonts w:ascii="Times New Roman" w:hAnsi="Times New Roman" w:cs="Times New Roman"/>
          <w:lang w:val="en-GB" w:eastAsia="en-GB"/>
        </w:rPr>
      </w:pPr>
      <w:r>
        <w:t>Even though the problem in arriving at (reasonable) trend data was alleviated by basing the analysis on a subsample of</w:t>
      </w:r>
      <w:r w:rsidR="000A7494">
        <w:t xml:space="preserve"> cities</w:t>
      </w:r>
      <w:r>
        <w:t xml:space="preserve"> reporting waste-water</w:t>
      </w:r>
      <w:r w:rsidR="004D32C3">
        <w:t xml:space="preserve"> results</w:t>
      </w:r>
      <w:r>
        <w:t xml:space="preserve"> in recent years</w:t>
      </w:r>
      <w:r w:rsidR="001000B5">
        <w:t xml:space="preserve"> (2020</w:t>
      </w:r>
      <w:r w:rsidR="002944BD">
        <w:rPr>
          <w:rFonts w:ascii="Calibri" w:hAnsi="Calibri" w:cs="Calibri"/>
        </w:rPr>
        <w:t>‒</w:t>
      </w:r>
      <w:r w:rsidR="001000B5">
        <w:t>2022)</w:t>
      </w:r>
      <w:r>
        <w:t xml:space="preserve">, the problem </w:t>
      </w:r>
      <w:r w:rsidR="000A7494">
        <w:t xml:space="preserve">of missing data </w:t>
      </w:r>
      <w:r>
        <w:t xml:space="preserve">did not fully disappear.   </w:t>
      </w:r>
    </w:p>
    <w:p w:rsidR="002529EF" w:rsidRPr="0036585D" w:rsidRDefault="00B9698D" w:rsidP="002529EF">
      <w:pPr>
        <w:pStyle w:val="Default"/>
        <w:spacing w:before="180" w:line="360" w:lineRule="auto"/>
        <w:jc w:val="both"/>
        <w:rPr>
          <w:rFonts w:ascii="Times New Roman" w:hAnsi="Times New Roman" w:cs="Times New Roman"/>
          <w:lang w:val="en-GB" w:eastAsia="en-GB"/>
        </w:rPr>
      </w:pPr>
      <w:r>
        <w:rPr>
          <w:rFonts w:ascii="Times New Roman" w:hAnsi="Times New Roman" w:cs="Times New Roman"/>
          <w:lang w:val="en-GB" w:eastAsia="en-GB"/>
        </w:rPr>
        <w:t>In theory, t</w:t>
      </w:r>
      <w:r w:rsidR="002529EF" w:rsidRPr="0036585D">
        <w:rPr>
          <w:rFonts w:ascii="Times New Roman" w:hAnsi="Times New Roman" w:cs="Times New Roman"/>
          <w:lang w:val="en-GB" w:eastAsia="en-GB"/>
        </w:rPr>
        <w:t xml:space="preserve">his problem </w:t>
      </w:r>
      <w:r w:rsidR="00066895">
        <w:rPr>
          <w:rFonts w:ascii="Times New Roman" w:hAnsi="Times New Roman" w:cs="Times New Roman"/>
          <w:lang w:val="en-GB" w:eastAsia="en-GB"/>
        </w:rPr>
        <w:t xml:space="preserve">can </w:t>
      </w:r>
      <w:r w:rsidR="002529EF" w:rsidRPr="0036585D">
        <w:rPr>
          <w:rFonts w:ascii="Times New Roman" w:hAnsi="Times New Roman" w:cs="Times New Roman"/>
          <w:lang w:val="en-GB" w:eastAsia="en-GB"/>
        </w:rPr>
        <w:t xml:space="preserve">be overcome by analysing the results of the cities which participated each year in this exercise. However, such results would be based on the results of </w:t>
      </w:r>
      <w:r w:rsidR="00C86926">
        <w:rPr>
          <w:rFonts w:ascii="Times New Roman" w:hAnsi="Times New Roman" w:cs="Times New Roman"/>
          <w:lang w:val="en-GB" w:eastAsia="en-GB"/>
        </w:rPr>
        <w:t xml:space="preserve">just 7 </w:t>
      </w:r>
      <w:r w:rsidR="002529EF">
        <w:rPr>
          <w:rFonts w:ascii="Times New Roman" w:hAnsi="Times New Roman" w:cs="Times New Roman"/>
          <w:lang w:val="en-GB" w:eastAsia="en-GB"/>
        </w:rPr>
        <w:t>cities</w:t>
      </w:r>
      <w:r w:rsidR="008C456C">
        <w:rPr>
          <w:rFonts w:ascii="Times New Roman" w:hAnsi="Times New Roman" w:cs="Times New Roman"/>
          <w:lang w:val="en-GB" w:eastAsia="en-GB"/>
        </w:rPr>
        <w:t xml:space="preserve"> (</w:t>
      </w:r>
      <w:r w:rsidR="003E1B5D">
        <w:rPr>
          <w:rFonts w:ascii="Times New Roman" w:hAnsi="Times New Roman" w:cs="Times New Roman"/>
          <w:lang w:val="en-GB" w:eastAsia="en-GB"/>
        </w:rPr>
        <w:t>Antwerp</w:t>
      </w:r>
      <w:r w:rsidR="00A04C42">
        <w:rPr>
          <w:rFonts w:ascii="Times New Roman" w:hAnsi="Times New Roman" w:cs="Times New Roman"/>
          <w:lang w:val="en-GB" w:eastAsia="en-GB"/>
        </w:rPr>
        <w:t xml:space="preserve"> (Belgium)</w:t>
      </w:r>
      <w:r w:rsidR="003E1B5D">
        <w:rPr>
          <w:rFonts w:ascii="Times New Roman" w:hAnsi="Times New Roman" w:cs="Times New Roman"/>
          <w:lang w:val="en-GB" w:eastAsia="en-GB"/>
        </w:rPr>
        <w:t xml:space="preserve">, </w:t>
      </w:r>
      <w:r w:rsidR="00DC2573">
        <w:rPr>
          <w:rFonts w:ascii="Times New Roman" w:hAnsi="Times New Roman" w:cs="Times New Roman"/>
          <w:lang w:val="en-GB" w:eastAsia="en-GB"/>
        </w:rPr>
        <w:t>Castellon</w:t>
      </w:r>
      <w:r w:rsidR="00A04C42">
        <w:rPr>
          <w:rFonts w:ascii="Times New Roman" w:hAnsi="Times New Roman" w:cs="Times New Roman"/>
          <w:lang w:val="en-GB" w:eastAsia="en-GB"/>
        </w:rPr>
        <w:t xml:space="preserve"> (Spain)</w:t>
      </w:r>
      <w:r w:rsidR="00DC2573">
        <w:rPr>
          <w:rFonts w:ascii="Times New Roman" w:hAnsi="Times New Roman" w:cs="Times New Roman"/>
          <w:lang w:val="en-GB" w:eastAsia="en-GB"/>
        </w:rPr>
        <w:t>, Eindhoven</w:t>
      </w:r>
      <w:r w:rsidR="00A04C42">
        <w:rPr>
          <w:rFonts w:ascii="Times New Roman" w:hAnsi="Times New Roman" w:cs="Times New Roman"/>
          <w:lang w:val="en-GB" w:eastAsia="en-GB"/>
        </w:rPr>
        <w:t xml:space="preserve"> (Netherlands)</w:t>
      </w:r>
      <w:r w:rsidR="00DC2573">
        <w:rPr>
          <w:rFonts w:ascii="Times New Roman" w:hAnsi="Times New Roman" w:cs="Times New Roman"/>
          <w:lang w:val="en-GB" w:eastAsia="en-GB"/>
        </w:rPr>
        <w:t>, Milan</w:t>
      </w:r>
      <w:r w:rsidR="00A04C42">
        <w:rPr>
          <w:rFonts w:ascii="Times New Roman" w:hAnsi="Times New Roman" w:cs="Times New Roman"/>
          <w:lang w:val="en-GB" w:eastAsia="en-GB"/>
        </w:rPr>
        <w:t xml:space="preserve"> (Italy)</w:t>
      </w:r>
      <w:r w:rsidR="003E1B5D">
        <w:rPr>
          <w:rFonts w:ascii="Times New Roman" w:hAnsi="Times New Roman" w:cs="Times New Roman"/>
          <w:lang w:val="en-GB" w:eastAsia="en-GB"/>
        </w:rPr>
        <w:t>,</w:t>
      </w:r>
      <w:r w:rsidR="00A04C42">
        <w:rPr>
          <w:rFonts w:ascii="Times New Roman" w:hAnsi="Times New Roman" w:cs="Times New Roman"/>
          <w:lang w:val="en-GB" w:eastAsia="en-GB"/>
        </w:rPr>
        <w:t xml:space="preserve"> Santiago</w:t>
      </w:r>
      <w:r w:rsidR="00711223">
        <w:rPr>
          <w:rFonts w:ascii="Times New Roman" w:hAnsi="Times New Roman" w:cs="Times New Roman"/>
          <w:lang w:val="en-GB" w:eastAsia="en-GB"/>
        </w:rPr>
        <w:t xml:space="preserve"> (Spain) Utrecht (Netherlands)</w:t>
      </w:r>
      <w:r w:rsidR="003E1B5D">
        <w:rPr>
          <w:rFonts w:ascii="Times New Roman" w:hAnsi="Times New Roman" w:cs="Times New Roman"/>
          <w:lang w:val="en-GB" w:eastAsia="en-GB"/>
        </w:rPr>
        <w:t xml:space="preserve">) </w:t>
      </w:r>
      <w:r w:rsidR="008C456C">
        <w:rPr>
          <w:rFonts w:ascii="Times New Roman" w:hAnsi="Times New Roman" w:cs="Times New Roman"/>
          <w:lang w:val="en-GB" w:eastAsia="en-GB"/>
        </w:rPr>
        <w:t xml:space="preserve">in 5 European countries </w:t>
      </w:r>
      <w:r w:rsidR="002529EF" w:rsidRPr="0036585D">
        <w:rPr>
          <w:rFonts w:ascii="Times New Roman" w:hAnsi="Times New Roman" w:cs="Times New Roman"/>
          <w:lang w:val="en-GB" w:eastAsia="en-GB"/>
        </w:rPr>
        <w:t xml:space="preserve">and the data from </w:t>
      </w:r>
      <w:r w:rsidR="002529EF">
        <w:rPr>
          <w:rFonts w:ascii="Times New Roman" w:hAnsi="Times New Roman" w:cs="Times New Roman"/>
          <w:lang w:val="en-GB" w:eastAsia="en-GB"/>
        </w:rPr>
        <w:t xml:space="preserve">such a limited number of </w:t>
      </w:r>
      <w:r w:rsidR="002529EF" w:rsidRPr="0036585D">
        <w:rPr>
          <w:rFonts w:ascii="Times New Roman" w:hAnsi="Times New Roman" w:cs="Times New Roman"/>
          <w:lang w:val="en-GB" w:eastAsia="en-GB"/>
        </w:rPr>
        <w:t xml:space="preserve">cities are not necessarily a reliable indicator for overall cocaine consumption trends in Europe. </w:t>
      </w:r>
    </w:p>
    <w:p w:rsidR="002529EF" w:rsidRPr="0092693B" w:rsidRDefault="002529EF" w:rsidP="002529EF">
      <w:pPr>
        <w:pStyle w:val="Pa0"/>
        <w:spacing w:before="180" w:line="360" w:lineRule="auto"/>
        <w:jc w:val="both"/>
        <w:rPr>
          <w:rFonts w:ascii="Times New Roman" w:hAnsi="Times New Roman"/>
        </w:rPr>
      </w:pPr>
      <w:r w:rsidRPr="0036585D">
        <w:rPr>
          <w:rFonts w:ascii="Times New Roman" w:hAnsi="Times New Roman"/>
        </w:rPr>
        <w:t>An alternative approach used and shown in the report was to expand the analysis</w:t>
      </w:r>
      <w:r>
        <w:rPr>
          <w:rFonts w:ascii="Times New Roman" w:hAnsi="Times New Roman"/>
        </w:rPr>
        <w:t xml:space="preserve"> </w:t>
      </w:r>
      <w:r w:rsidRPr="0036585D">
        <w:rPr>
          <w:rFonts w:ascii="Times New Roman" w:hAnsi="Times New Roman"/>
        </w:rPr>
        <w:t>to</w:t>
      </w:r>
      <w:r>
        <w:rPr>
          <w:rFonts w:ascii="Times New Roman" w:hAnsi="Times New Roman"/>
        </w:rPr>
        <w:t xml:space="preserve"> </w:t>
      </w:r>
      <w:r w:rsidR="00B324E2">
        <w:rPr>
          <w:rFonts w:ascii="Times New Roman" w:hAnsi="Times New Roman"/>
        </w:rPr>
        <w:t>119</w:t>
      </w:r>
      <w:r w:rsidR="00A23317">
        <w:rPr>
          <w:rFonts w:ascii="Times New Roman" w:hAnsi="Times New Roman"/>
        </w:rPr>
        <w:t xml:space="preserve"> </w:t>
      </w:r>
      <w:r w:rsidRPr="0036585D">
        <w:rPr>
          <w:rFonts w:ascii="Times New Roman" w:hAnsi="Times New Roman"/>
        </w:rPr>
        <w:t>European cities</w:t>
      </w:r>
      <w:r w:rsidR="00A23317">
        <w:rPr>
          <w:rFonts w:ascii="Times New Roman" w:hAnsi="Times New Roman"/>
        </w:rPr>
        <w:t xml:space="preserve">, having participated in studies </w:t>
      </w:r>
      <w:r w:rsidR="00A23317" w:rsidRPr="0036585D">
        <w:rPr>
          <w:rFonts w:ascii="Times New Roman" w:hAnsi="Times New Roman"/>
        </w:rPr>
        <w:t>analysing bencoylecgonine in wastewater</w:t>
      </w:r>
      <w:r w:rsidR="00A23317">
        <w:rPr>
          <w:rFonts w:ascii="Times New Roman" w:hAnsi="Times New Roman"/>
        </w:rPr>
        <w:t xml:space="preserve"> </w:t>
      </w:r>
      <w:r w:rsidR="00DC0C69">
        <w:rPr>
          <w:rFonts w:ascii="Times New Roman" w:hAnsi="Times New Roman"/>
        </w:rPr>
        <w:t>over the period 2020</w:t>
      </w:r>
      <w:r w:rsidR="00A6411A">
        <w:rPr>
          <w:rFonts w:ascii="Calibri" w:hAnsi="Calibri" w:cs="Calibri"/>
        </w:rPr>
        <w:t>‒</w:t>
      </w:r>
      <w:r w:rsidR="00DC0C69">
        <w:rPr>
          <w:rFonts w:ascii="Times New Roman" w:hAnsi="Times New Roman"/>
        </w:rPr>
        <w:t>2022</w:t>
      </w:r>
      <w:r w:rsidR="008128FD">
        <w:rPr>
          <w:rFonts w:ascii="Times New Roman" w:hAnsi="Times New Roman"/>
        </w:rPr>
        <w:t>.</w:t>
      </w:r>
      <w:r w:rsidR="00A23317">
        <w:rPr>
          <w:rFonts w:ascii="Times New Roman" w:hAnsi="Times New Roman"/>
        </w:rPr>
        <w:t xml:space="preserve">; </w:t>
      </w:r>
      <w:r w:rsidRPr="0036585D">
        <w:rPr>
          <w:rFonts w:ascii="Times New Roman" w:hAnsi="Times New Roman"/>
        </w:rPr>
        <w:t>UNODC included in its calculations only</w:t>
      </w:r>
      <w:r w:rsidR="00083917">
        <w:rPr>
          <w:rFonts w:ascii="Times New Roman" w:hAnsi="Times New Roman"/>
        </w:rPr>
        <w:t xml:space="preserve"> such</w:t>
      </w:r>
      <w:r w:rsidRPr="0036585D">
        <w:rPr>
          <w:rFonts w:ascii="Times New Roman" w:hAnsi="Times New Roman"/>
        </w:rPr>
        <w:t xml:space="preserve"> cities that were geographically located within Europe, i.e.</w:t>
      </w:r>
      <w:r w:rsidR="00A031FC">
        <w:rPr>
          <w:rFonts w:ascii="Times New Roman" w:hAnsi="Times New Roman"/>
        </w:rPr>
        <w:t>,</w:t>
      </w:r>
      <w:r w:rsidRPr="0036585D">
        <w:rPr>
          <w:rFonts w:ascii="Times New Roman" w:hAnsi="Times New Roman"/>
        </w:rPr>
        <w:t xml:space="preserve"> not included were cities </w:t>
      </w:r>
      <w:r>
        <w:rPr>
          <w:rFonts w:ascii="Times New Roman" w:hAnsi="Times New Roman"/>
        </w:rPr>
        <w:t xml:space="preserve">though </w:t>
      </w:r>
      <w:r w:rsidRPr="0036585D">
        <w:rPr>
          <w:rFonts w:ascii="Times New Roman" w:hAnsi="Times New Roman"/>
        </w:rPr>
        <w:t>being part of European countries located outside of Europe.</w:t>
      </w:r>
    </w:p>
    <w:p w:rsidR="002529EF" w:rsidRPr="009603EF" w:rsidRDefault="002529EF" w:rsidP="000238EF">
      <w:pPr>
        <w:pStyle w:val="Pa0"/>
        <w:spacing w:before="180" w:line="360" w:lineRule="auto"/>
        <w:jc w:val="both"/>
        <w:rPr>
          <w:rFonts w:ascii="Times New Roman" w:hAnsi="Times New Roman"/>
        </w:rPr>
      </w:pPr>
      <w:r w:rsidRPr="003020F7">
        <w:rPr>
          <w:rFonts w:ascii="Times New Roman" w:hAnsi="Times New Roman"/>
        </w:rPr>
        <w:t>Interpolation techniques were used to account for missing data.</w:t>
      </w:r>
      <w:r w:rsidR="000238EF">
        <w:rPr>
          <w:rFonts w:ascii="Times New Roman" w:hAnsi="Times New Roman"/>
        </w:rPr>
        <w:t xml:space="preserve"> </w:t>
      </w:r>
      <w:r w:rsidRPr="009603EF">
        <w:rPr>
          <w:rFonts w:ascii="Times New Roman" w:hAnsi="Times New Roman"/>
        </w:rPr>
        <w:t xml:space="preserve">First, data from the </w:t>
      </w:r>
      <w:r w:rsidR="007E0104">
        <w:rPr>
          <w:rFonts w:ascii="Times New Roman" w:hAnsi="Times New Roman"/>
        </w:rPr>
        <w:t>119</w:t>
      </w:r>
      <w:r w:rsidR="005B231E" w:rsidRPr="009603EF">
        <w:rPr>
          <w:rFonts w:ascii="Times New Roman" w:hAnsi="Times New Roman"/>
        </w:rPr>
        <w:t xml:space="preserve"> </w:t>
      </w:r>
      <w:r w:rsidRPr="009603EF">
        <w:rPr>
          <w:rFonts w:ascii="Times New Roman" w:hAnsi="Times New Roman"/>
        </w:rPr>
        <w:t xml:space="preserve">cities were entered as reported from individual cities. In case of data gaps between years it was </w:t>
      </w:r>
      <w:r w:rsidRPr="009603EF">
        <w:rPr>
          <w:rFonts w:ascii="Times New Roman" w:hAnsi="Times New Roman"/>
        </w:rPr>
        <w:lastRenderedPageBreak/>
        <w:t xml:space="preserve">assumed that there was a gradual increase or decline in per capita results between the two data points (using the Excel function Series, Trend, Growth). In case of missing data at the beginning or at the end of the data series, the latest reported data (from other years) was used to fill the data gaps. This method helped to reduce the bias due to the reporting of additional cities (or the non-reporting of other cities) in specific years while making better use of reported data, thus reducing potential trend distortions. </w:t>
      </w:r>
    </w:p>
    <w:p w:rsidR="002529EF" w:rsidRDefault="002529EF" w:rsidP="002529EF">
      <w:pPr>
        <w:pStyle w:val="Pa0"/>
        <w:spacing w:before="180" w:line="360" w:lineRule="auto"/>
        <w:jc w:val="both"/>
        <w:rPr>
          <w:rFonts w:ascii="Times New Roman" w:hAnsi="Times New Roman"/>
        </w:rPr>
      </w:pPr>
      <w:r w:rsidRPr="0085745A">
        <w:rPr>
          <w:rFonts w:ascii="Times New Roman" w:hAnsi="Times New Roman"/>
        </w:rPr>
        <w:t xml:space="preserve">In order to calculate a </w:t>
      </w:r>
      <w:r w:rsidRPr="002E1D6F">
        <w:rPr>
          <w:rFonts w:ascii="Times New Roman" w:hAnsi="Times New Roman"/>
        </w:rPr>
        <w:t>European average,</w:t>
      </w:r>
      <w:r w:rsidRPr="0036585D">
        <w:rPr>
          <w:rFonts w:ascii="Times New Roman" w:hAnsi="Times New Roman"/>
        </w:rPr>
        <w:t xml:space="preserve"> </w:t>
      </w:r>
      <w:r>
        <w:rPr>
          <w:rFonts w:ascii="Times New Roman" w:hAnsi="Times New Roman"/>
        </w:rPr>
        <w:t xml:space="preserve">first an </w:t>
      </w:r>
      <w:r w:rsidRPr="00B1439A">
        <w:rPr>
          <w:rFonts w:ascii="Times New Roman" w:hAnsi="Times New Roman"/>
          <w:b/>
          <w:bCs/>
        </w:rPr>
        <w:t>unweighted average</w:t>
      </w:r>
      <w:r>
        <w:rPr>
          <w:rFonts w:ascii="Times New Roman" w:hAnsi="Times New Roman"/>
        </w:rPr>
        <w:t xml:space="preserve"> was calculated.</w:t>
      </w:r>
    </w:p>
    <w:p w:rsidR="002529EF" w:rsidRDefault="002529EF" w:rsidP="002529EF">
      <w:pPr>
        <w:pStyle w:val="Pa0"/>
        <w:spacing w:before="180" w:line="360" w:lineRule="auto"/>
        <w:jc w:val="both"/>
        <w:rPr>
          <w:rFonts w:ascii="Times New Roman" w:hAnsi="Times New Roman"/>
        </w:rPr>
      </w:pPr>
      <w:r>
        <w:rPr>
          <w:rFonts w:ascii="Times New Roman" w:hAnsi="Times New Roman"/>
        </w:rPr>
        <w:t xml:space="preserve">Second, </w:t>
      </w:r>
      <w:r w:rsidRPr="0036585D">
        <w:rPr>
          <w:rFonts w:ascii="Times New Roman" w:hAnsi="Times New Roman"/>
        </w:rPr>
        <w:t xml:space="preserve">the city results were </w:t>
      </w:r>
      <w:r w:rsidRPr="004B6C86">
        <w:rPr>
          <w:rFonts w:ascii="Times New Roman" w:hAnsi="Times New Roman"/>
          <w:b/>
          <w:bCs/>
        </w:rPr>
        <w:t>weighted</w:t>
      </w:r>
      <w:r w:rsidRPr="0036585D">
        <w:rPr>
          <w:rFonts w:ascii="Times New Roman" w:hAnsi="Times New Roman"/>
        </w:rPr>
        <w:t xml:space="preserve"> by the respective </w:t>
      </w:r>
      <w:r w:rsidRPr="004B6C86">
        <w:rPr>
          <w:rFonts w:ascii="Times New Roman" w:hAnsi="Times New Roman"/>
          <w:b/>
          <w:bCs/>
        </w:rPr>
        <w:t>population living in the respective waste-water catchment areas</w:t>
      </w:r>
      <w:r w:rsidRPr="0036585D">
        <w:rPr>
          <w:rFonts w:ascii="Times New Roman" w:hAnsi="Times New Roman"/>
        </w:rPr>
        <w:t xml:space="preserve">. </w:t>
      </w:r>
      <w:r>
        <w:rPr>
          <w:rFonts w:ascii="Times New Roman" w:hAnsi="Times New Roman"/>
        </w:rPr>
        <w:t>The calculation of an average, weighted by the population living in the various cities (i.e.</w:t>
      </w:r>
      <w:r w:rsidR="00A031FC">
        <w:rPr>
          <w:rFonts w:ascii="Times New Roman" w:hAnsi="Times New Roman"/>
        </w:rPr>
        <w:t>,</w:t>
      </w:r>
      <w:r>
        <w:rPr>
          <w:rFonts w:ascii="Times New Roman" w:hAnsi="Times New Roman"/>
        </w:rPr>
        <w:t xml:space="preserve"> the population served by the respective sewage system, to be precise) provides a better estimate for the overall cocaine consumption of the population served by the sewage systems of the participating cities. Whether this is, however, a better proxy for overall cocaine consumption among the European population at large is less clear. This would have been the case if all of Europe had participated in this exercise</w:t>
      </w:r>
      <w:r w:rsidR="00A23317">
        <w:rPr>
          <w:rFonts w:ascii="Times New Roman" w:hAnsi="Times New Roman"/>
        </w:rPr>
        <w:t xml:space="preserve"> or if a random selection of sites had taken place.</w:t>
      </w:r>
      <w:r>
        <w:rPr>
          <w:rFonts w:ascii="Times New Roman" w:hAnsi="Times New Roman"/>
        </w:rPr>
        <w:t xml:space="preserve"> </w:t>
      </w:r>
      <w:r w:rsidR="00A23317">
        <w:rPr>
          <w:rFonts w:ascii="Times New Roman" w:hAnsi="Times New Roman"/>
        </w:rPr>
        <w:t xml:space="preserve">However, </w:t>
      </w:r>
      <w:r>
        <w:rPr>
          <w:rFonts w:ascii="Times New Roman" w:hAnsi="Times New Roman"/>
        </w:rPr>
        <w:t xml:space="preserve">the cities participating in the waste-water exercise were not randomly selected, but are based on a convenience sample of European cities expressing their willingness to participate in this exercise. </w:t>
      </w:r>
      <w:r w:rsidR="00A23317">
        <w:rPr>
          <w:rFonts w:ascii="Times New Roman" w:hAnsi="Times New Roman"/>
        </w:rPr>
        <w:t>Results at the European level must thus be interpreted with caution.</w:t>
      </w:r>
    </w:p>
    <w:p w:rsidR="00A23317" w:rsidRDefault="00A23317" w:rsidP="00A23317">
      <w:pPr>
        <w:pStyle w:val="Pa0"/>
        <w:spacing w:before="180" w:line="360" w:lineRule="auto"/>
        <w:jc w:val="both"/>
        <w:rPr>
          <w:rFonts w:ascii="Times New Roman" w:hAnsi="Times New Roman"/>
        </w:rPr>
      </w:pPr>
      <w:r>
        <w:rPr>
          <w:rFonts w:ascii="Times New Roman" w:hAnsi="Times New Roman"/>
        </w:rPr>
        <w:t xml:space="preserve">In the original model used by UNODC, information from all cities was collected. </w:t>
      </w:r>
      <w:r w:rsidR="006A437E">
        <w:rPr>
          <w:rFonts w:ascii="Times New Roman" w:hAnsi="Times New Roman"/>
        </w:rPr>
        <w:t>One limitation of th</w:t>
      </w:r>
      <w:r>
        <w:rPr>
          <w:rFonts w:ascii="Times New Roman" w:hAnsi="Times New Roman"/>
        </w:rPr>
        <w:t>is</w:t>
      </w:r>
      <w:r w:rsidR="006A437E">
        <w:rPr>
          <w:rFonts w:ascii="Times New Roman" w:hAnsi="Times New Roman"/>
        </w:rPr>
        <w:t xml:space="preserve"> method used </w:t>
      </w:r>
      <w:r>
        <w:rPr>
          <w:rFonts w:ascii="Times New Roman" w:hAnsi="Times New Roman"/>
        </w:rPr>
        <w:t xml:space="preserve">was </w:t>
      </w:r>
      <w:r w:rsidR="006A437E">
        <w:rPr>
          <w:rFonts w:ascii="Times New Roman" w:hAnsi="Times New Roman"/>
        </w:rPr>
        <w:t xml:space="preserve">that </w:t>
      </w:r>
      <w:r w:rsidR="002529EF">
        <w:rPr>
          <w:rFonts w:ascii="Times New Roman" w:hAnsi="Times New Roman"/>
        </w:rPr>
        <w:t xml:space="preserve">the more cities </w:t>
      </w:r>
      <w:r w:rsidR="00783A21">
        <w:rPr>
          <w:rFonts w:ascii="Times New Roman" w:hAnsi="Times New Roman"/>
        </w:rPr>
        <w:t xml:space="preserve">not reporting </w:t>
      </w:r>
      <w:r w:rsidR="002529EF">
        <w:rPr>
          <w:rFonts w:ascii="Times New Roman" w:hAnsi="Times New Roman"/>
        </w:rPr>
        <w:t xml:space="preserve">in the latest year(s), the flatter </w:t>
      </w:r>
      <w:r>
        <w:rPr>
          <w:rFonts w:ascii="Times New Roman" w:hAnsi="Times New Roman"/>
        </w:rPr>
        <w:t xml:space="preserve">became </w:t>
      </w:r>
      <w:r w:rsidR="002529EF">
        <w:rPr>
          <w:rFonts w:ascii="Times New Roman" w:hAnsi="Times New Roman"/>
        </w:rPr>
        <w:t xml:space="preserve">the resulting curve, potentially under-estimating overall growth </w:t>
      </w:r>
      <w:r w:rsidR="00A34407">
        <w:rPr>
          <w:rFonts w:ascii="Times New Roman" w:hAnsi="Times New Roman"/>
        </w:rPr>
        <w:t>(</w:t>
      </w:r>
      <w:r w:rsidR="002529EF">
        <w:rPr>
          <w:rFonts w:ascii="Times New Roman" w:hAnsi="Times New Roman"/>
        </w:rPr>
        <w:t>and/or in years of  decline, under-estimating the net decline</w:t>
      </w:r>
      <w:r w:rsidR="00A34407">
        <w:rPr>
          <w:rFonts w:ascii="Times New Roman" w:hAnsi="Times New Roman"/>
        </w:rPr>
        <w:t>)</w:t>
      </w:r>
      <w:r w:rsidR="002529EF">
        <w:rPr>
          <w:rFonts w:ascii="Times New Roman" w:hAnsi="Times New Roman"/>
        </w:rPr>
        <w:t xml:space="preserve">.  </w:t>
      </w:r>
      <w:r>
        <w:rPr>
          <w:rFonts w:ascii="Times New Roman" w:hAnsi="Times New Roman"/>
        </w:rPr>
        <w:t xml:space="preserve">In order to reduce this bias, trends in this year’s </w:t>
      </w:r>
      <w:r w:rsidR="00694C96">
        <w:rPr>
          <w:rFonts w:ascii="Times New Roman" w:hAnsi="Times New Roman"/>
        </w:rPr>
        <w:t xml:space="preserve">and last year’s </w:t>
      </w:r>
      <w:r>
        <w:rPr>
          <w:rFonts w:ascii="Times New Roman" w:hAnsi="Times New Roman"/>
        </w:rPr>
        <w:t>World Drug Report were calculated based on cities which had signalled their readiness to participate in the 2021</w:t>
      </w:r>
      <w:r w:rsidR="008922C5">
        <w:rPr>
          <w:rFonts w:ascii="Times New Roman" w:hAnsi="Times New Roman"/>
        </w:rPr>
        <w:t>/2022</w:t>
      </w:r>
      <w:r>
        <w:rPr>
          <w:rFonts w:ascii="Times New Roman" w:hAnsi="Times New Roman"/>
        </w:rPr>
        <w:t xml:space="preserve"> SCORE exercise</w:t>
      </w:r>
      <w:r w:rsidR="008922C5">
        <w:rPr>
          <w:rFonts w:ascii="Times New Roman" w:hAnsi="Times New Roman"/>
        </w:rPr>
        <w:t>s</w:t>
      </w:r>
      <w:r>
        <w:rPr>
          <w:rFonts w:ascii="Times New Roman" w:hAnsi="Times New Roman"/>
        </w:rPr>
        <w:t xml:space="preserve"> </w:t>
      </w:r>
      <w:r w:rsidR="0081261A">
        <w:rPr>
          <w:rFonts w:ascii="Times New Roman" w:hAnsi="Times New Roman"/>
        </w:rPr>
        <w:t xml:space="preserve">thus limiting </w:t>
      </w:r>
      <w:r>
        <w:rPr>
          <w:rFonts w:ascii="Times New Roman" w:hAnsi="Times New Roman"/>
        </w:rPr>
        <w:t xml:space="preserve">the non-reporting cities in </w:t>
      </w:r>
      <w:r w:rsidR="008922C5">
        <w:rPr>
          <w:rFonts w:ascii="Times New Roman" w:hAnsi="Times New Roman"/>
        </w:rPr>
        <w:t xml:space="preserve">2022 </w:t>
      </w:r>
      <w:r>
        <w:rPr>
          <w:rFonts w:ascii="Times New Roman" w:hAnsi="Times New Roman"/>
        </w:rPr>
        <w:t xml:space="preserve"> to just a few. </w:t>
      </w:r>
      <w:r w:rsidR="008A68D8">
        <w:rPr>
          <w:rFonts w:ascii="Times New Roman" w:hAnsi="Times New Roman"/>
        </w:rPr>
        <w:t xml:space="preserve"> </w:t>
      </w:r>
    </w:p>
    <w:p w:rsidR="002529EF" w:rsidRPr="0092693B" w:rsidRDefault="002529EF" w:rsidP="002529EF">
      <w:pPr>
        <w:pStyle w:val="Default"/>
        <w:widowControl w:val="0"/>
        <w:spacing w:before="180" w:line="360" w:lineRule="auto"/>
        <w:rPr>
          <w:rFonts w:ascii="Times New Roman" w:hAnsi="Times New Roman" w:cs="Times New Roman"/>
          <w:lang w:eastAsia="en-GB"/>
        </w:rPr>
      </w:pPr>
      <w:r w:rsidRPr="0036585D">
        <w:rPr>
          <w:rFonts w:ascii="Times New Roman" w:hAnsi="Times New Roman" w:cs="Times New Roman"/>
          <w:noProof/>
          <w:lang w:val="en-GB" w:eastAsia="en-GB"/>
        </w:rPr>
        <w:t xml:space="preserve">The method of interpolations used for calculting the </w:t>
      </w:r>
      <w:r w:rsidRPr="004B6C86">
        <w:rPr>
          <w:rFonts w:ascii="Times New Roman" w:hAnsi="Times New Roman" w:cs="Times New Roman"/>
          <w:b/>
          <w:bCs/>
          <w:noProof/>
          <w:lang w:val="en-GB" w:eastAsia="en-GB"/>
        </w:rPr>
        <w:t>weighted averages</w:t>
      </w:r>
      <w:r w:rsidRPr="0036585D">
        <w:rPr>
          <w:rFonts w:ascii="Times New Roman" w:hAnsi="Times New Roman" w:cs="Times New Roman"/>
          <w:noProof/>
          <w:lang w:val="en-GB" w:eastAsia="en-GB"/>
        </w:rPr>
        <w:t xml:space="preserve"> is shown below based on a hypothetical example of data from four cities: </w:t>
      </w:r>
    </w:p>
    <w:p w:rsidR="002529EF" w:rsidRDefault="002529EF" w:rsidP="002529EF">
      <w:pPr>
        <w:pStyle w:val="Pa0"/>
        <w:keepNext/>
        <w:keepLines/>
        <w:widowControl w:val="0"/>
        <w:spacing w:before="180" w:line="360" w:lineRule="auto"/>
        <w:jc w:val="both"/>
        <w:rPr>
          <w:rFonts w:ascii="Times New Roman" w:hAnsi="Times New Roman"/>
          <w:b/>
          <w:sz w:val="22"/>
          <w:szCs w:val="22"/>
        </w:rPr>
      </w:pPr>
      <w:r w:rsidRPr="00573B48">
        <w:rPr>
          <w:rFonts w:ascii="Times New Roman" w:hAnsi="Times New Roman"/>
          <w:b/>
          <w:sz w:val="22"/>
          <w:szCs w:val="22"/>
        </w:rPr>
        <w:lastRenderedPageBreak/>
        <w:t xml:space="preserve">Hypothetical sample:  data of benzoylecgonine per 1000 inhabitants in four cities    </w:t>
      </w:r>
    </w:p>
    <w:tbl>
      <w:tblPr>
        <w:tblW w:w="14843" w:type="dxa"/>
        <w:tblInd w:w="113" w:type="dxa"/>
        <w:tblLayout w:type="fixed"/>
        <w:tblLook w:val="04A0"/>
      </w:tblPr>
      <w:tblGrid>
        <w:gridCol w:w="805"/>
        <w:gridCol w:w="990"/>
        <w:gridCol w:w="990"/>
        <w:gridCol w:w="990"/>
        <w:gridCol w:w="990"/>
        <w:gridCol w:w="990"/>
        <w:gridCol w:w="990"/>
        <w:gridCol w:w="990"/>
        <w:gridCol w:w="270"/>
        <w:gridCol w:w="810"/>
        <w:gridCol w:w="1080"/>
        <w:gridCol w:w="4948"/>
      </w:tblGrid>
      <w:tr w:rsidR="008A68D8" w:rsidTr="008A68D8">
        <w:trPr>
          <w:trHeight w:val="300"/>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8D8" w:rsidRDefault="008A68D8" w:rsidP="008A68D8">
            <w:pPr>
              <w:keepNext/>
              <w:keepLines/>
              <w:rPr>
                <w:color w:val="000000"/>
                <w:sz w:val="20"/>
                <w:szCs w:val="20"/>
                <w:lang w:eastAsia="zh-CN"/>
              </w:rPr>
            </w:pPr>
            <w:r>
              <w:rPr>
                <w:color w:val="000000"/>
                <w:sz w:val="20"/>
                <w:szCs w:val="20"/>
              </w:rPr>
              <w:t> </w:t>
            </w:r>
          </w:p>
        </w:tc>
        <w:tc>
          <w:tcPr>
            <w:tcW w:w="990" w:type="dxa"/>
            <w:tcBorders>
              <w:top w:val="single" w:sz="4" w:space="0" w:color="auto"/>
              <w:left w:val="nil"/>
              <w:bottom w:val="single" w:sz="4" w:space="0" w:color="auto"/>
              <w:right w:val="single" w:sz="4" w:space="0" w:color="auto"/>
            </w:tcBorders>
            <w:shd w:val="clear" w:color="auto" w:fill="auto"/>
            <w:vAlign w:val="center"/>
          </w:tcPr>
          <w:p w:rsidR="008A68D8" w:rsidRDefault="008A68D8" w:rsidP="008A68D8">
            <w:pPr>
              <w:keepNext/>
              <w:keepLines/>
              <w:jc w:val="right"/>
              <w:rPr>
                <w:color w:val="000000"/>
                <w:sz w:val="20"/>
                <w:szCs w:val="20"/>
              </w:rPr>
            </w:pPr>
            <w:r>
              <w:rPr>
                <w:color w:val="000000"/>
                <w:sz w:val="20"/>
                <w:szCs w:val="20"/>
              </w:rPr>
              <w:t>2014</w:t>
            </w:r>
          </w:p>
        </w:tc>
        <w:tc>
          <w:tcPr>
            <w:tcW w:w="990" w:type="dxa"/>
            <w:tcBorders>
              <w:top w:val="single" w:sz="4" w:space="0" w:color="auto"/>
              <w:left w:val="nil"/>
              <w:bottom w:val="single" w:sz="4" w:space="0" w:color="auto"/>
              <w:right w:val="single" w:sz="4" w:space="0" w:color="auto"/>
            </w:tcBorders>
            <w:shd w:val="clear" w:color="auto" w:fill="auto"/>
            <w:vAlign w:val="center"/>
          </w:tcPr>
          <w:p w:rsidR="008A68D8" w:rsidRDefault="008A68D8" w:rsidP="008A68D8">
            <w:pPr>
              <w:keepNext/>
              <w:keepLines/>
              <w:jc w:val="right"/>
              <w:rPr>
                <w:color w:val="000000"/>
                <w:sz w:val="20"/>
                <w:szCs w:val="20"/>
              </w:rPr>
            </w:pPr>
            <w:r>
              <w:rPr>
                <w:color w:val="000000"/>
                <w:sz w:val="20"/>
                <w:szCs w:val="20"/>
              </w:rPr>
              <w:t>2015</w:t>
            </w:r>
          </w:p>
        </w:tc>
        <w:tc>
          <w:tcPr>
            <w:tcW w:w="990" w:type="dxa"/>
            <w:tcBorders>
              <w:top w:val="single" w:sz="4" w:space="0" w:color="auto"/>
              <w:left w:val="nil"/>
              <w:bottom w:val="single" w:sz="4" w:space="0" w:color="auto"/>
              <w:right w:val="single" w:sz="4" w:space="0" w:color="auto"/>
            </w:tcBorders>
            <w:shd w:val="clear" w:color="auto" w:fill="auto"/>
            <w:vAlign w:val="center"/>
          </w:tcPr>
          <w:p w:rsidR="008A68D8" w:rsidRDefault="008A68D8" w:rsidP="008A68D8">
            <w:pPr>
              <w:keepNext/>
              <w:keepLines/>
              <w:jc w:val="right"/>
              <w:rPr>
                <w:color w:val="000000"/>
                <w:sz w:val="20"/>
                <w:szCs w:val="20"/>
              </w:rPr>
            </w:pPr>
            <w:r>
              <w:rPr>
                <w:color w:val="000000"/>
                <w:sz w:val="20"/>
                <w:szCs w:val="20"/>
              </w:rPr>
              <w:t>2017</w:t>
            </w:r>
          </w:p>
        </w:tc>
        <w:tc>
          <w:tcPr>
            <w:tcW w:w="990" w:type="dxa"/>
            <w:tcBorders>
              <w:top w:val="single" w:sz="4" w:space="0" w:color="auto"/>
              <w:left w:val="nil"/>
              <w:bottom w:val="single" w:sz="4" w:space="0" w:color="auto"/>
              <w:right w:val="single" w:sz="4" w:space="0" w:color="auto"/>
            </w:tcBorders>
            <w:shd w:val="clear" w:color="auto" w:fill="auto"/>
            <w:vAlign w:val="center"/>
          </w:tcPr>
          <w:p w:rsidR="008A68D8" w:rsidRDefault="008A68D8" w:rsidP="008A68D8">
            <w:pPr>
              <w:keepNext/>
              <w:keepLines/>
              <w:jc w:val="right"/>
              <w:rPr>
                <w:color w:val="000000"/>
                <w:sz w:val="20"/>
                <w:szCs w:val="20"/>
              </w:rPr>
            </w:pPr>
            <w:r>
              <w:rPr>
                <w:color w:val="000000"/>
                <w:sz w:val="20"/>
                <w:szCs w:val="20"/>
              </w:rPr>
              <w:t>2017</w:t>
            </w:r>
          </w:p>
        </w:tc>
        <w:tc>
          <w:tcPr>
            <w:tcW w:w="990" w:type="dxa"/>
            <w:tcBorders>
              <w:top w:val="single" w:sz="4" w:space="0" w:color="auto"/>
              <w:left w:val="nil"/>
              <w:bottom w:val="single" w:sz="4" w:space="0" w:color="auto"/>
              <w:right w:val="single" w:sz="4" w:space="0" w:color="auto"/>
            </w:tcBorders>
            <w:shd w:val="clear" w:color="auto" w:fill="auto"/>
            <w:vAlign w:val="center"/>
          </w:tcPr>
          <w:p w:rsidR="008A68D8" w:rsidRDefault="008A68D8" w:rsidP="008A68D8">
            <w:pPr>
              <w:keepNext/>
              <w:keepLines/>
              <w:jc w:val="right"/>
              <w:rPr>
                <w:color w:val="000000"/>
                <w:sz w:val="20"/>
                <w:szCs w:val="20"/>
              </w:rPr>
            </w:pPr>
            <w:r>
              <w:rPr>
                <w:color w:val="000000"/>
                <w:sz w:val="20"/>
                <w:szCs w:val="20"/>
              </w:rPr>
              <w:t>2018</w:t>
            </w:r>
          </w:p>
        </w:tc>
        <w:tc>
          <w:tcPr>
            <w:tcW w:w="990" w:type="dxa"/>
            <w:tcBorders>
              <w:top w:val="single" w:sz="4" w:space="0" w:color="auto"/>
              <w:left w:val="nil"/>
              <w:bottom w:val="single" w:sz="4" w:space="0" w:color="auto"/>
              <w:right w:val="single" w:sz="4" w:space="0" w:color="auto"/>
            </w:tcBorders>
            <w:shd w:val="clear" w:color="auto" w:fill="auto"/>
            <w:vAlign w:val="center"/>
          </w:tcPr>
          <w:p w:rsidR="008A68D8" w:rsidRDefault="008A68D8" w:rsidP="008A68D8">
            <w:pPr>
              <w:keepNext/>
              <w:keepLines/>
              <w:jc w:val="right"/>
              <w:rPr>
                <w:color w:val="000000"/>
                <w:sz w:val="20"/>
                <w:szCs w:val="20"/>
              </w:rPr>
            </w:pPr>
            <w:r>
              <w:rPr>
                <w:color w:val="000000"/>
                <w:sz w:val="20"/>
                <w:szCs w:val="20"/>
              </w:rPr>
              <w:t>2019</w:t>
            </w:r>
          </w:p>
        </w:tc>
        <w:tc>
          <w:tcPr>
            <w:tcW w:w="990" w:type="dxa"/>
            <w:tcBorders>
              <w:top w:val="single" w:sz="4" w:space="0" w:color="auto"/>
              <w:left w:val="nil"/>
              <w:bottom w:val="single" w:sz="4" w:space="0" w:color="auto"/>
              <w:right w:val="single" w:sz="4" w:space="0" w:color="auto"/>
            </w:tcBorders>
            <w:shd w:val="clear" w:color="auto" w:fill="auto"/>
            <w:vAlign w:val="center"/>
          </w:tcPr>
          <w:p w:rsidR="008A68D8" w:rsidRDefault="008A68D8" w:rsidP="008A68D8">
            <w:pPr>
              <w:keepNext/>
              <w:keepLines/>
              <w:jc w:val="right"/>
              <w:rPr>
                <w:color w:val="000000"/>
                <w:sz w:val="20"/>
                <w:szCs w:val="20"/>
              </w:rPr>
            </w:pPr>
            <w:r>
              <w:rPr>
                <w:color w:val="000000"/>
                <w:sz w:val="20"/>
                <w:szCs w:val="20"/>
              </w:rPr>
              <w:t>2020</w:t>
            </w:r>
          </w:p>
        </w:tc>
        <w:tc>
          <w:tcPr>
            <w:tcW w:w="270" w:type="dxa"/>
            <w:tcBorders>
              <w:top w:val="single" w:sz="4" w:space="0" w:color="auto"/>
              <w:left w:val="nil"/>
              <w:bottom w:val="single" w:sz="4" w:space="0" w:color="auto"/>
              <w:right w:val="nil"/>
            </w:tcBorders>
            <w:vAlign w:val="center"/>
          </w:tcPr>
          <w:p w:rsidR="008A68D8" w:rsidRDefault="008A68D8" w:rsidP="008A68D8">
            <w:pPr>
              <w:keepNext/>
              <w:keepLines/>
              <w:jc w:val="right"/>
              <w:rPr>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8A68D8" w:rsidRDefault="008A68D8" w:rsidP="008A68D8">
            <w:pPr>
              <w:keepNext/>
              <w:keepLines/>
              <w:jc w:val="right"/>
              <w:rPr>
                <w:color w:val="000000"/>
                <w:sz w:val="20"/>
                <w:szCs w:val="20"/>
              </w:rPr>
            </w:pPr>
            <w:r>
              <w:rPr>
                <w:color w:val="000000"/>
                <w:sz w:val="20"/>
                <w:szCs w:val="20"/>
              </w:rPr>
              <w:t>2021</w:t>
            </w:r>
          </w:p>
        </w:tc>
        <w:tc>
          <w:tcPr>
            <w:tcW w:w="1080" w:type="dxa"/>
            <w:tcBorders>
              <w:top w:val="single" w:sz="4" w:space="0" w:color="auto"/>
              <w:left w:val="nil"/>
              <w:bottom w:val="single" w:sz="4" w:space="0" w:color="auto"/>
              <w:right w:val="single" w:sz="4" w:space="0" w:color="auto"/>
            </w:tcBorders>
            <w:shd w:val="clear" w:color="auto" w:fill="auto"/>
            <w:vAlign w:val="center"/>
          </w:tcPr>
          <w:p w:rsidR="008A68D8" w:rsidRDefault="008A68D8" w:rsidP="008A68D8">
            <w:pPr>
              <w:keepNext/>
              <w:keepLines/>
              <w:jc w:val="right"/>
              <w:rPr>
                <w:color w:val="000000"/>
                <w:sz w:val="20"/>
                <w:szCs w:val="20"/>
              </w:rPr>
            </w:pPr>
            <w:r>
              <w:rPr>
                <w:color w:val="000000"/>
                <w:sz w:val="20"/>
                <w:szCs w:val="20"/>
              </w:rPr>
              <w:t>20</w:t>
            </w:r>
            <w:r w:rsidR="00737B23">
              <w:rPr>
                <w:color w:val="000000"/>
                <w:sz w:val="20"/>
                <w:szCs w:val="20"/>
              </w:rPr>
              <w:t>22</w:t>
            </w:r>
          </w:p>
        </w:tc>
        <w:tc>
          <w:tcPr>
            <w:tcW w:w="4948" w:type="dxa"/>
            <w:vAlign w:val="center"/>
          </w:tcPr>
          <w:p w:rsidR="008A68D8" w:rsidRDefault="008A68D8" w:rsidP="008A68D8">
            <w:pPr>
              <w:spacing w:before="0" w:line="240" w:lineRule="auto"/>
              <w:jc w:val="left"/>
            </w:pPr>
          </w:p>
        </w:tc>
      </w:tr>
      <w:tr w:rsidR="008A68D8" w:rsidTr="008A68D8">
        <w:trPr>
          <w:gridAfter w:val="1"/>
          <w:wAfter w:w="4948" w:type="dxa"/>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8A68D8" w:rsidRDefault="008A68D8" w:rsidP="008A68D8">
            <w:pPr>
              <w:keepNext/>
              <w:keepLines/>
              <w:rPr>
                <w:color w:val="000000"/>
                <w:sz w:val="20"/>
                <w:szCs w:val="20"/>
              </w:rPr>
            </w:pPr>
            <w:r>
              <w:rPr>
                <w:color w:val="000000"/>
                <w:sz w:val="20"/>
                <w:szCs w:val="20"/>
              </w:rPr>
              <w:t>City A</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000000"/>
                <w:sz w:val="20"/>
                <w:szCs w:val="20"/>
              </w:rPr>
            </w:pPr>
            <w:r>
              <w:rPr>
                <w:color w:val="000000"/>
                <w:sz w:val="20"/>
                <w:szCs w:val="20"/>
              </w:rPr>
              <w:t>80</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000000"/>
                <w:sz w:val="20"/>
                <w:szCs w:val="20"/>
              </w:rPr>
            </w:pPr>
            <w:r>
              <w:rPr>
                <w:color w:val="000000"/>
                <w:sz w:val="20"/>
                <w:szCs w:val="20"/>
              </w:rPr>
              <w:t>78</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000000"/>
                <w:sz w:val="20"/>
                <w:szCs w:val="20"/>
              </w:rPr>
            </w:pPr>
            <w:r>
              <w:rPr>
                <w:color w:val="000000"/>
                <w:sz w:val="20"/>
                <w:szCs w:val="20"/>
              </w:rPr>
              <w:t>75</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000000"/>
                <w:sz w:val="20"/>
                <w:szCs w:val="20"/>
              </w:rPr>
            </w:pPr>
            <w:r>
              <w:rPr>
                <w:color w:val="000000"/>
                <w:sz w:val="20"/>
                <w:szCs w:val="20"/>
              </w:rPr>
              <w:t>80</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000000"/>
                <w:sz w:val="20"/>
                <w:szCs w:val="20"/>
              </w:rPr>
            </w:pPr>
            <w:r>
              <w:rPr>
                <w:color w:val="000000"/>
                <w:sz w:val="20"/>
                <w:szCs w:val="20"/>
              </w:rPr>
              <w:t>92</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FF0000"/>
                <w:sz w:val="20"/>
                <w:szCs w:val="20"/>
              </w:rPr>
            </w:pPr>
            <w:r>
              <w:rPr>
                <w:color w:val="FF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000000"/>
                <w:sz w:val="20"/>
                <w:szCs w:val="20"/>
              </w:rPr>
            </w:pPr>
            <w:r>
              <w:rPr>
                <w:color w:val="000000"/>
                <w:sz w:val="20"/>
                <w:szCs w:val="20"/>
              </w:rPr>
              <w:t>95</w:t>
            </w:r>
          </w:p>
        </w:tc>
        <w:tc>
          <w:tcPr>
            <w:tcW w:w="270" w:type="dxa"/>
            <w:tcBorders>
              <w:top w:val="nil"/>
              <w:left w:val="nil"/>
              <w:bottom w:val="single" w:sz="4" w:space="0" w:color="auto"/>
              <w:right w:val="nil"/>
            </w:tcBorders>
          </w:tcPr>
          <w:p w:rsidR="008A68D8" w:rsidRDefault="008A68D8" w:rsidP="008A68D8">
            <w:pPr>
              <w:keepNext/>
              <w:keepLines/>
              <w:jc w:val="right"/>
              <w:rPr>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ind w:left="-740"/>
              <w:jc w:val="right"/>
              <w:rPr>
                <w:color w:val="000000"/>
                <w:sz w:val="20"/>
                <w:szCs w:val="20"/>
              </w:rPr>
            </w:pPr>
            <w:r>
              <w:rPr>
                <w:color w:val="000000"/>
                <w:sz w:val="20"/>
                <w:szCs w:val="20"/>
              </w:rPr>
              <w:t>97</w:t>
            </w:r>
          </w:p>
        </w:tc>
        <w:tc>
          <w:tcPr>
            <w:tcW w:w="108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ind w:right="11"/>
              <w:jc w:val="right"/>
              <w:rPr>
                <w:color w:val="000000"/>
                <w:sz w:val="20"/>
                <w:szCs w:val="20"/>
              </w:rPr>
            </w:pPr>
            <w:r>
              <w:rPr>
                <w:color w:val="000000"/>
                <w:sz w:val="20"/>
                <w:szCs w:val="20"/>
              </w:rPr>
              <w:t>100</w:t>
            </w:r>
          </w:p>
        </w:tc>
      </w:tr>
      <w:tr w:rsidR="008A68D8" w:rsidTr="008A68D8">
        <w:trPr>
          <w:gridAfter w:val="1"/>
          <w:wAfter w:w="4948" w:type="dxa"/>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8A68D8" w:rsidRDefault="008A68D8" w:rsidP="008A68D8">
            <w:pPr>
              <w:keepNext/>
              <w:keepLines/>
              <w:rPr>
                <w:color w:val="000000"/>
                <w:sz w:val="20"/>
                <w:szCs w:val="20"/>
              </w:rPr>
            </w:pPr>
            <w:r>
              <w:rPr>
                <w:color w:val="000000"/>
                <w:sz w:val="20"/>
                <w:szCs w:val="20"/>
              </w:rPr>
              <w:t>City B</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FF0000"/>
                <w:sz w:val="20"/>
                <w:szCs w:val="20"/>
              </w:rPr>
            </w:pPr>
            <w:r>
              <w:rPr>
                <w:color w:val="FF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000000"/>
                <w:sz w:val="20"/>
                <w:szCs w:val="20"/>
              </w:rPr>
            </w:pPr>
            <w:r>
              <w:rPr>
                <w:color w:val="000000"/>
                <w:sz w:val="20"/>
                <w:szCs w:val="20"/>
              </w:rPr>
              <w:t>55</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000000"/>
                <w:sz w:val="20"/>
                <w:szCs w:val="20"/>
              </w:rPr>
            </w:pPr>
            <w:r>
              <w:rPr>
                <w:color w:val="000000"/>
                <w:sz w:val="20"/>
                <w:szCs w:val="20"/>
              </w:rPr>
              <w:t>60</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FF0000"/>
                <w:sz w:val="20"/>
                <w:szCs w:val="20"/>
              </w:rPr>
            </w:pPr>
            <w:r>
              <w:rPr>
                <w:color w:val="FF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FF0000"/>
                <w:sz w:val="20"/>
                <w:szCs w:val="20"/>
              </w:rPr>
            </w:pPr>
            <w:r>
              <w:rPr>
                <w:color w:val="FF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000000"/>
                <w:sz w:val="20"/>
                <w:szCs w:val="20"/>
              </w:rPr>
            </w:pPr>
            <w:r>
              <w:rPr>
                <w:color w:val="000000"/>
                <w:sz w:val="20"/>
                <w:szCs w:val="20"/>
              </w:rPr>
              <w:t>85</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000000"/>
                <w:sz w:val="20"/>
                <w:szCs w:val="20"/>
              </w:rPr>
            </w:pPr>
            <w:r>
              <w:rPr>
                <w:color w:val="000000"/>
                <w:sz w:val="20"/>
                <w:szCs w:val="20"/>
              </w:rPr>
              <w:t>90</w:t>
            </w:r>
          </w:p>
        </w:tc>
        <w:tc>
          <w:tcPr>
            <w:tcW w:w="270" w:type="dxa"/>
            <w:tcBorders>
              <w:top w:val="nil"/>
              <w:left w:val="nil"/>
              <w:bottom w:val="single" w:sz="4" w:space="0" w:color="auto"/>
              <w:right w:val="nil"/>
            </w:tcBorders>
          </w:tcPr>
          <w:p w:rsidR="008A68D8" w:rsidRDefault="008A68D8" w:rsidP="008A68D8">
            <w:pPr>
              <w:keepNext/>
              <w:keepLines/>
              <w:jc w:val="right"/>
              <w:rPr>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68D8" w:rsidRPr="00BD06C9" w:rsidRDefault="008A68D8" w:rsidP="008A68D8">
            <w:pPr>
              <w:keepNext/>
              <w:keepLines/>
              <w:jc w:val="right"/>
              <w:rPr>
                <w:color w:val="000000"/>
                <w:sz w:val="20"/>
                <w:szCs w:val="20"/>
              </w:rPr>
            </w:pPr>
            <w:r w:rsidRPr="00BD06C9">
              <w:rPr>
                <w:color w:val="000000"/>
                <w:sz w:val="20"/>
                <w:szCs w:val="20"/>
              </w:rPr>
              <w:t>102</w:t>
            </w:r>
          </w:p>
        </w:tc>
      </w:tr>
      <w:tr w:rsidR="008A68D8" w:rsidTr="008A68D8">
        <w:trPr>
          <w:gridAfter w:val="1"/>
          <w:wAfter w:w="4948" w:type="dxa"/>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8A68D8" w:rsidRDefault="008A68D8" w:rsidP="008A68D8">
            <w:pPr>
              <w:keepNext/>
              <w:keepLines/>
              <w:rPr>
                <w:color w:val="000000"/>
                <w:sz w:val="20"/>
                <w:szCs w:val="20"/>
              </w:rPr>
            </w:pPr>
            <w:r>
              <w:rPr>
                <w:color w:val="000000"/>
                <w:sz w:val="20"/>
                <w:szCs w:val="20"/>
              </w:rPr>
              <w:t>City C</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000000"/>
                <w:sz w:val="20"/>
                <w:szCs w:val="20"/>
              </w:rPr>
            </w:pPr>
            <w:r>
              <w:rPr>
                <w:color w:val="000000"/>
                <w:sz w:val="20"/>
                <w:szCs w:val="20"/>
              </w:rPr>
              <w:t>150</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000000"/>
                <w:sz w:val="20"/>
                <w:szCs w:val="20"/>
              </w:rPr>
            </w:pPr>
            <w:r>
              <w:rPr>
                <w:color w:val="000000"/>
                <w:sz w:val="20"/>
                <w:szCs w:val="20"/>
              </w:rPr>
              <w:t>154</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FF0000"/>
                <w:sz w:val="20"/>
                <w:szCs w:val="20"/>
              </w:rPr>
            </w:pPr>
            <w:r>
              <w:rPr>
                <w:color w:val="FF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FF0000"/>
                <w:sz w:val="20"/>
                <w:szCs w:val="20"/>
              </w:rPr>
            </w:pPr>
            <w:r>
              <w:rPr>
                <w:color w:val="FF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000000"/>
                <w:sz w:val="20"/>
                <w:szCs w:val="20"/>
              </w:rPr>
            </w:pPr>
            <w:r>
              <w:rPr>
                <w:color w:val="000000"/>
                <w:sz w:val="20"/>
                <w:szCs w:val="20"/>
              </w:rPr>
              <w:t>174</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000000"/>
                <w:sz w:val="20"/>
                <w:szCs w:val="20"/>
              </w:rPr>
            </w:pPr>
            <w:r>
              <w:rPr>
                <w:color w:val="000000"/>
                <w:sz w:val="20"/>
                <w:szCs w:val="20"/>
              </w:rPr>
              <w:t>180</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000000"/>
                <w:sz w:val="20"/>
                <w:szCs w:val="20"/>
              </w:rPr>
            </w:pPr>
            <w:r>
              <w:rPr>
                <w:color w:val="000000"/>
                <w:sz w:val="20"/>
                <w:szCs w:val="20"/>
              </w:rPr>
              <w:t> </w:t>
            </w:r>
          </w:p>
        </w:tc>
        <w:tc>
          <w:tcPr>
            <w:tcW w:w="270" w:type="dxa"/>
            <w:tcBorders>
              <w:top w:val="nil"/>
              <w:left w:val="nil"/>
              <w:bottom w:val="single" w:sz="4" w:space="0" w:color="auto"/>
              <w:right w:val="nil"/>
            </w:tcBorders>
          </w:tcPr>
          <w:p w:rsidR="008A68D8" w:rsidRDefault="008A68D8" w:rsidP="008A68D8">
            <w:pPr>
              <w:keepNext/>
              <w:keepLines/>
              <w:jc w:val="right"/>
              <w:rPr>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68D8" w:rsidRPr="00BD06C9" w:rsidRDefault="008A68D8" w:rsidP="008A68D8">
            <w:pPr>
              <w:keepNext/>
              <w:keepLines/>
              <w:jc w:val="right"/>
              <w:rPr>
                <w:color w:val="000000"/>
                <w:sz w:val="20"/>
                <w:szCs w:val="20"/>
              </w:rPr>
            </w:pPr>
            <w:r w:rsidRPr="00BD06C9">
              <w:rPr>
                <w:color w:val="000000"/>
                <w:sz w:val="20"/>
                <w:szCs w:val="20"/>
              </w:rPr>
              <w:t> </w:t>
            </w:r>
          </w:p>
        </w:tc>
      </w:tr>
      <w:tr w:rsidR="008A68D8" w:rsidTr="008A68D8">
        <w:trPr>
          <w:gridAfter w:val="1"/>
          <w:wAfter w:w="4948" w:type="dxa"/>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8A68D8" w:rsidRDefault="008A68D8" w:rsidP="008A68D8">
            <w:pPr>
              <w:keepNext/>
              <w:keepLines/>
              <w:rPr>
                <w:color w:val="000000"/>
                <w:sz w:val="20"/>
                <w:szCs w:val="20"/>
              </w:rPr>
            </w:pPr>
            <w:r>
              <w:rPr>
                <w:color w:val="000000"/>
                <w:sz w:val="20"/>
                <w:szCs w:val="20"/>
              </w:rPr>
              <w:t>City D</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000000"/>
                <w:sz w:val="20"/>
                <w:szCs w:val="20"/>
              </w:rPr>
            </w:pPr>
            <w:r>
              <w:rPr>
                <w:color w:val="000000"/>
                <w:sz w:val="20"/>
                <w:szCs w:val="20"/>
              </w:rPr>
              <w:t>140</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000000"/>
                <w:sz w:val="20"/>
                <w:szCs w:val="20"/>
              </w:rPr>
            </w:pPr>
            <w:r>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FF0000"/>
                <w:sz w:val="20"/>
                <w:szCs w:val="20"/>
              </w:rPr>
            </w:pPr>
            <w:r>
              <w:rPr>
                <w:color w:val="FF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000000"/>
                <w:sz w:val="20"/>
                <w:szCs w:val="20"/>
              </w:rPr>
            </w:pPr>
            <w:r>
              <w:rPr>
                <w:color w:val="000000"/>
                <w:sz w:val="20"/>
                <w:szCs w:val="20"/>
              </w:rPr>
              <w:t>115</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000000"/>
                <w:sz w:val="20"/>
                <w:szCs w:val="20"/>
              </w:rPr>
            </w:pPr>
            <w:r>
              <w:rPr>
                <w:color w:val="000000"/>
                <w:sz w:val="20"/>
                <w:szCs w:val="20"/>
              </w:rPr>
              <w:t>120</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000000"/>
                <w:sz w:val="20"/>
                <w:szCs w:val="20"/>
              </w:rPr>
            </w:pPr>
            <w:r>
              <w:rPr>
                <w:color w:val="000000"/>
                <w:sz w:val="20"/>
                <w:szCs w:val="20"/>
              </w:rPr>
              <w:t>125</w:t>
            </w:r>
          </w:p>
        </w:tc>
        <w:tc>
          <w:tcPr>
            <w:tcW w:w="99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000000"/>
                <w:sz w:val="20"/>
                <w:szCs w:val="20"/>
              </w:rPr>
            </w:pPr>
            <w:r>
              <w:rPr>
                <w:color w:val="000000"/>
                <w:sz w:val="20"/>
                <w:szCs w:val="20"/>
              </w:rPr>
              <w:t>127</w:t>
            </w:r>
          </w:p>
        </w:tc>
        <w:tc>
          <w:tcPr>
            <w:tcW w:w="270" w:type="dxa"/>
            <w:tcBorders>
              <w:top w:val="nil"/>
              <w:left w:val="nil"/>
              <w:bottom w:val="single" w:sz="4" w:space="0" w:color="auto"/>
              <w:right w:val="nil"/>
            </w:tcBorders>
          </w:tcPr>
          <w:p w:rsidR="008A68D8" w:rsidRDefault="008A68D8" w:rsidP="008A68D8">
            <w:pPr>
              <w:keepNext/>
              <w:keepLines/>
              <w:jc w:val="right"/>
              <w:rPr>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8A68D8" w:rsidRDefault="008A68D8" w:rsidP="008A68D8">
            <w:pPr>
              <w:keepNext/>
              <w:keepLines/>
              <w:jc w:val="right"/>
              <w:rPr>
                <w:color w:val="000000"/>
                <w:sz w:val="20"/>
                <w:szCs w:val="20"/>
              </w:rPr>
            </w:pPr>
            <w:r>
              <w:rPr>
                <w:color w:val="000000"/>
                <w:sz w:val="20"/>
                <w:szCs w:val="20"/>
              </w:rPr>
              <w:t>130</w:t>
            </w:r>
          </w:p>
        </w:tc>
        <w:tc>
          <w:tcPr>
            <w:tcW w:w="1080" w:type="dxa"/>
            <w:tcBorders>
              <w:top w:val="nil"/>
              <w:left w:val="nil"/>
              <w:bottom w:val="single" w:sz="4" w:space="0" w:color="auto"/>
              <w:right w:val="single" w:sz="4" w:space="0" w:color="auto"/>
            </w:tcBorders>
            <w:shd w:val="clear" w:color="auto" w:fill="auto"/>
            <w:noWrap/>
            <w:vAlign w:val="bottom"/>
            <w:hideMark/>
          </w:tcPr>
          <w:p w:rsidR="008A68D8" w:rsidRPr="00BD06C9" w:rsidRDefault="008A68D8" w:rsidP="008A68D8">
            <w:pPr>
              <w:keepNext/>
              <w:keepLines/>
              <w:jc w:val="right"/>
              <w:rPr>
                <w:color w:val="000000"/>
                <w:sz w:val="20"/>
                <w:szCs w:val="20"/>
              </w:rPr>
            </w:pPr>
            <w:r w:rsidRPr="00BD06C9">
              <w:rPr>
                <w:color w:val="000000"/>
                <w:sz w:val="20"/>
                <w:szCs w:val="20"/>
              </w:rPr>
              <w:t>135</w:t>
            </w:r>
          </w:p>
        </w:tc>
      </w:tr>
    </w:tbl>
    <w:p w:rsidR="00A23317" w:rsidRPr="00D662FD" w:rsidRDefault="00A23317" w:rsidP="00A23317">
      <w:pPr>
        <w:pStyle w:val="Default"/>
        <w:keepNext/>
        <w:keepLines/>
        <w:rPr>
          <w:lang w:val="en-GB" w:eastAsia="en-GB"/>
        </w:rPr>
      </w:pPr>
    </w:p>
    <w:p w:rsidR="008D290B" w:rsidRDefault="002529EF" w:rsidP="008D290B">
      <w:pPr>
        <w:pStyle w:val="Pa0"/>
        <w:keepNext/>
        <w:keepLines/>
        <w:spacing w:before="180" w:line="360" w:lineRule="auto"/>
        <w:jc w:val="both"/>
        <w:rPr>
          <w:rFonts w:ascii="Times New Roman" w:hAnsi="Times New Roman"/>
          <w:b/>
          <w:sz w:val="22"/>
          <w:szCs w:val="22"/>
        </w:rPr>
      </w:pPr>
      <w:r w:rsidRPr="00573B48">
        <w:rPr>
          <w:rFonts w:ascii="Times New Roman" w:hAnsi="Times New Roman"/>
          <w:b/>
          <w:sz w:val="22"/>
          <w:szCs w:val="22"/>
        </w:rPr>
        <w:t xml:space="preserve">Interpolation method* used for dealing with missing data for calculating the averages   </w:t>
      </w:r>
      <w:r w:rsidR="008D290B" w:rsidRPr="00573B48">
        <w:rPr>
          <w:rFonts w:ascii="Times New Roman" w:hAnsi="Times New Roman"/>
          <w:b/>
          <w:sz w:val="22"/>
          <w:szCs w:val="22"/>
        </w:rPr>
        <w:t xml:space="preserve"> </w:t>
      </w:r>
    </w:p>
    <w:tbl>
      <w:tblPr>
        <w:tblW w:w="11517" w:type="dxa"/>
        <w:tblInd w:w="113" w:type="dxa"/>
        <w:tblLayout w:type="fixed"/>
        <w:tblLook w:val="04A0"/>
      </w:tblPr>
      <w:tblGrid>
        <w:gridCol w:w="960"/>
        <w:gridCol w:w="977"/>
        <w:gridCol w:w="977"/>
        <w:gridCol w:w="977"/>
        <w:gridCol w:w="977"/>
        <w:gridCol w:w="977"/>
        <w:gridCol w:w="977"/>
        <w:gridCol w:w="977"/>
        <w:gridCol w:w="977"/>
        <w:gridCol w:w="977"/>
        <w:gridCol w:w="1764"/>
      </w:tblGrid>
      <w:tr w:rsidR="00737B23" w:rsidTr="00737B2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B23" w:rsidRDefault="00737B23" w:rsidP="00737B23">
            <w:pPr>
              <w:rPr>
                <w:color w:val="000000"/>
                <w:sz w:val="20"/>
                <w:szCs w:val="20"/>
                <w:lang w:eastAsia="zh-CN"/>
              </w:rPr>
            </w:pPr>
            <w:r>
              <w:rPr>
                <w:color w:val="000000"/>
                <w:sz w:val="20"/>
                <w:szCs w:val="20"/>
              </w:rPr>
              <w:t> </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737B23" w:rsidRDefault="00737B23" w:rsidP="00737B23">
            <w:pPr>
              <w:jc w:val="right"/>
              <w:rPr>
                <w:color w:val="000000"/>
                <w:sz w:val="20"/>
                <w:szCs w:val="20"/>
              </w:rPr>
            </w:pPr>
            <w:r>
              <w:rPr>
                <w:color w:val="000000"/>
                <w:sz w:val="20"/>
                <w:szCs w:val="20"/>
              </w:rPr>
              <w:t>2014</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737B23" w:rsidRDefault="00737B23" w:rsidP="00737B23">
            <w:pPr>
              <w:jc w:val="right"/>
              <w:rPr>
                <w:color w:val="000000"/>
                <w:sz w:val="20"/>
                <w:szCs w:val="20"/>
              </w:rPr>
            </w:pPr>
            <w:r>
              <w:rPr>
                <w:color w:val="000000"/>
                <w:sz w:val="20"/>
                <w:szCs w:val="20"/>
              </w:rPr>
              <w:t>2015</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737B23" w:rsidRDefault="00737B23" w:rsidP="00737B23">
            <w:pPr>
              <w:jc w:val="right"/>
              <w:rPr>
                <w:color w:val="000000"/>
                <w:sz w:val="20"/>
                <w:szCs w:val="20"/>
              </w:rPr>
            </w:pPr>
            <w:r>
              <w:rPr>
                <w:color w:val="000000"/>
                <w:sz w:val="20"/>
                <w:szCs w:val="20"/>
              </w:rPr>
              <w:t>2017</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737B23" w:rsidRDefault="00737B23" w:rsidP="00737B23">
            <w:pPr>
              <w:jc w:val="right"/>
              <w:rPr>
                <w:color w:val="000000"/>
                <w:sz w:val="20"/>
                <w:szCs w:val="20"/>
              </w:rPr>
            </w:pPr>
            <w:r>
              <w:rPr>
                <w:color w:val="000000"/>
                <w:sz w:val="20"/>
                <w:szCs w:val="20"/>
              </w:rPr>
              <w:t>2017</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737B23" w:rsidRDefault="00737B23" w:rsidP="00737B23">
            <w:pPr>
              <w:jc w:val="right"/>
              <w:rPr>
                <w:color w:val="000000"/>
                <w:sz w:val="20"/>
                <w:szCs w:val="20"/>
              </w:rPr>
            </w:pPr>
            <w:r>
              <w:rPr>
                <w:color w:val="000000"/>
                <w:sz w:val="20"/>
                <w:szCs w:val="20"/>
              </w:rPr>
              <w:t>2018</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737B23" w:rsidRDefault="00737B23" w:rsidP="00737B23">
            <w:pPr>
              <w:jc w:val="right"/>
              <w:rPr>
                <w:color w:val="000000"/>
                <w:sz w:val="20"/>
                <w:szCs w:val="20"/>
              </w:rPr>
            </w:pPr>
            <w:r>
              <w:rPr>
                <w:color w:val="000000"/>
                <w:sz w:val="20"/>
                <w:szCs w:val="20"/>
              </w:rPr>
              <w:t>2019</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737B23" w:rsidRDefault="00737B23" w:rsidP="00737B23">
            <w:pPr>
              <w:jc w:val="right"/>
              <w:rPr>
                <w:color w:val="000000"/>
                <w:sz w:val="20"/>
                <w:szCs w:val="20"/>
              </w:rPr>
            </w:pPr>
            <w:r>
              <w:rPr>
                <w:color w:val="000000"/>
                <w:sz w:val="20"/>
                <w:szCs w:val="20"/>
              </w:rPr>
              <w:t>2020</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737B23" w:rsidRDefault="00737B23" w:rsidP="00737B23">
            <w:pPr>
              <w:jc w:val="right"/>
              <w:rPr>
                <w:color w:val="000000"/>
                <w:sz w:val="20"/>
                <w:szCs w:val="20"/>
              </w:rPr>
            </w:pPr>
            <w:r>
              <w:rPr>
                <w:color w:val="000000"/>
                <w:sz w:val="20"/>
                <w:szCs w:val="20"/>
              </w:rPr>
              <w:t>2021</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737B23" w:rsidRDefault="00737B23" w:rsidP="00737B23">
            <w:pPr>
              <w:jc w:val="right"/>
              <w:rPr>
                <w:color w:val="000000"/>
                <w:sz w:val="20"/>
                <w:szCs w:val="20"/>
              </w:rPr>
            </w:pPr>
            <w:r>
              <w:rPr>
                <w:color w:val="000000"/>
                <w:sz w:val="20"/>
                <w:szCs w:val="20"/>
              </w:rPr>
              <w:t>2022</w:t>
            </w:r>
          </w:p>
        </w:tc>
        <w:tc>
          <w:tcPr>
            <w:tcW w:w="1764" w:type="dxa"/>
            <w:vAlign w:val="center"/>
          </w:tcPr>
          <w:p w:rsidR="00737B23" w:rsidRDefault="00737B23" w:rsidP="00737B23">
            <w:pPr>
              <w:spacing w:before="0" w:line="240" w:lineRule="auto"/>
              <w:jc w:val="left"/>
            </w:pPr>
          </w:p>
        </w:tc>
      </w:tr>
      <w:tr w:rsidR="00737B23" w:rsidTr="00737B23">
        <w:trPr>
          <w:gridAfter w:val="1"/>
          <w:wAfter w:w="1764"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37B23" w:rsidRDefault="00737B23" w:rsidP="00737B23">
            <w:pPr>
              <w:rPr>
                <w:color w:val="000000"/>
                <w:sz w:val="20"/>
                <w:szCs w:val="20"/>
              </w:rPr>
            </w:pPr>
            <w:r>
              <w:rPr>
                <w:color w:val="000000"/>
                <w:sz w:val="20"/>
                <w:szCs w:val="20"/>
              </w:rPr>
              <w:t>City A</w:t>
            </w:r>
          </w:p>
        </w:tc>
        <w:tc>
          <w:tcPr>
            <w:tcW w:w="977" w:type="dxa"/>
            <w:tcBorders>
              <w:top w:val="nil"/>
              <w:left w:val="nil"/>
              <w:bottom w:val="single" w:sz="4" w:space="0" w:color="auto"/>
              <w:right w:val="single" w:sz="4" w:space="0" w:color="auto"/>
            </w:tcBorders>
            <w:shd w:val="clear" w:color="auto" w:fill="auto"/>
            <w:vAlign w:val="center"/>
            <w:hideMark/>
          </w:tcPr>
          <w:p w:rsidR="00737B23" w:rsidRDefault="00737B23" w:rsidP="00737B23">
            <w:pPr>
              <w:jc w:val="right"/>
              <w:rPr>
                <w:color w:val="000000"/>
                <w:sz w:val="20"/>
                <w:szCs w:val="20"/>
              </w:rPr>
            </w:pPr>
            <w:r>
              <w:rPr>
                <w:color w:val="000000"/>
                <w:sz w:val="20"/>
                <w:szCs w:val="20"/>
              </w:rPr>
              <w:t>80</w:t>
            </w:r>
          </w:p>
        </w:tc>
        <w:tc>
          <w:tcPr>
            <w:tcW w:w="977" w:type="dxa"/>
            <w:tcBorders>
              <w:top w:val="nil"/>
              <w:left w:val="nil"/>
              <w:bottom w:val="single" w:sz="4" w:space="0" w:color="auto"/>
              <w:right w:val="single" w:sz="4" w:space="0" w:color="auto"/>
            </w:tcBorders>
            <w:shd w:val="clear" w:color="auto" w:fill="auto"/>
            <w:vAlign w:val="center"/>
            <w:hideMark/>
          </w:tcPr>
          <w:p w:rsidR="00737B23" w:rsidRDefault="00737B23" w:rsidP="00737B23">
            <w:pPr>
              <w:jc w:val="right"/>
              <w:rPr>
                <w:color w:val="000000"/>
                <w:sz w:val="20"/>
                <w:szCs w:val="20"/>
              </w:rPr>
            </w:pPr>
            <w:r>
              <w:rPr>
                <w:color w:val="000000"/>
                <w:sz w:val="20"/>
                <w:szCs w:val="20"/>
              </w:rPr>
              <w:t>78</w:t>
            </w:r>
          </w:p>
        </w:tc>
        <w:tc>
          <w:tcPr>
            <w:tcW w:w="977" w:type="dxa"/>
            <w:tcBorders>
              <w:top w:val="nil"/>
              <w:left w:val="nil"/>
              <w:bottom w:val="single" w:sz="4" w:space="0" w:color="auto"/>
              <w:right w:val="single" w:sz="4" w:space="0" w:color="auto"/>
            </w:tcBorders>
            <w:shd w:val="clear" w:color="auto" w:fill="auto"/>
            <w:vAlign w:val="center"/>
            <w:hideMark/>
          </w:tcPr>
          <w:p w:rsidR="00737B23" w:rsidRDefault="00737B23" w:rsidP="00737B23">
            <w:pPr>
              <w:jc w:val="right"/>
              <w:rPr>
                <w:color w:val="000000"/>
                <w:sz w:val="20"/>
                <w:szCs w:val="20"/>
              </w:rPr>
            </w:pPr>
            <w:r>
              <w:rPr>
                <w:color w:val="000000"/>
                <w:sz w:val="20"/>
                <w:szCs w:val="20"/>
              </w:rPr>
              <w:t>75</w:t>
            </w:r>
          </w:p>
        </w:tc>
        <w:tc>
          <w:tcPr>
            <w:tcW w:w="977" w:type="dxa"/>
            <w:tcBorders>
              <w:top w:val="nil"/>
              <w:left w:val="nil"/>
              <w:bottom w:val="single" w:sz="4" w:space="0" w:color="auto"/>
              <w:right w:val="single" w:sz="4" w:space="0" w:color="auto"/>
            </w:tcBorders>
            <w:shd w:val="clear" w:color="auto" w:fill="auto"/>
            <w:vAlign w:val="center"/>
            <w:hideMark/>
          </w:tcPr>
          <w:p w:rsidR="00737B23" w:rsidRDefault="00737B23" w:rsidP="00737B23">
            <w:pPr>
              <w:jc w:val="right"/>
              <w:rPr>
                <w:color w:val="000000"/>
                <w:sz w:val="20"/>
                <w:szCs w:val="20"/>
              </w:rPr>
            </w:pPr>
            <w:r>
              <w:rPr>
                <w:color w:val="000000"/>
                <w:sz w:val="20"/>
                <w:szCs w:val="20"/>
              </w:rPr>
              <w:t>80</w:t>
            </w:r>
          </w:p>
        </w:tc>
        <w:tc>
          <w:tcPr>
            <w:tcW w:w="977" w:type="dxa"/>
            <w:tcBorders>
              <w:top w:val="nil"/>
              <w:left w:val="nil"/>
              <w:bottom w:val="single" w:sz="4" w:space="0" w:color="auto"/>
              <w:right w:val="single" w:sz="4" w:space="0" w:color="auto"/>
            </w:tcBorders>
            <w:shd w:val="clear" w:color="auto" w:fill="auto"/>
            <w:vAlign w:val="center"/>
            <w:hideMark/>
          </w:tcPr>
          <w:p w:rsidR="00737B23" w:rsidRDefault="00737B23" w:rsidP="00737B23">
            <w:pPr>
              <w:jc w:val="right"/>
              <w:rPr>
                <w:color w:val="000000"/>
                <w:sz w:val="20"/>
                <w:szCs w:val="20"/>
              </w:rPr>
            </w:pPr>
            <w:r>
              <w:rPr>
                <w:color w:val="000000"/>
                <w:sz w:val="20"/>
                <w:szCs w:val="20"/>
              </w:rPr>
              <w:t>92</w:t>
            </w:r>
          </w:p>
        </w:tc>
        <w:tc>
          <w:tcPr>
            <w:tcW w:w="977" w:type="dxa"/>
            <w:tcBorders>
              <w:top w:val="nil"/>
              <w:left w:val="nil"/>
              <w:bottom w:val="single" w:sz="4" w:space="0" w:color="auto"/>
              <w:right w:val="single" w:sz="4" w:space="0" w:color="auto"/>
            </w:tcBorders>
            <w:shd w:val="clear" w:color="auto" w:fill="auto"/>
            <w:vAlign w:val="center"/>
            <w:hideMark/>
          </w:tcPr>
          <w:p w:rsidR="00737B23" w:rsidRDefault="00737B23" w:rsidP="00737B23">
            <w:pPr>
              <w:jc w:val="right"/>
              <w:rPr>
                <w:color w:val="FF0000"/>
                <w:sz w:val="20"/>
                <w:szCs w:val="20"/>
              </w:rPr>
            </w:pPr>
            <w:r>
              <w:rPr>
                <w:color w:val="FF0000"/>
                <w:sz w:val="20"/>
                <w:szCs w:val="20"/>
              </w:rPr>
              <w:t>93</w:t>
            </w:r>
          </w:p>
        </w:tc>
        <w:tc>
          <w:tcPr>
            <w:tcW w:w="977" w:type="dxa"/>
            <w:tcBorders>
              <w:top w:val="nil"/>
              <w:left w:val="nil"/>
              <w:bottom w:val="single" w:sz="4" w:space="0" w:color="auto"/>
              <w:right w:val="single" w:sz="4" w:space="0" w:color="auto"/>
            </w:tcBorders>
            <w:shd w:val="clear" w:color="auto" w:fill="auto"/>
            <w:vAlign w:val="center"/>
            <w:hideMark/>
          </w:tcPr>
          <w:p w:rsidR="00737B23" w:rsidRDefault="00737B23" w:rsidP="00737B23">
            <w:pPr>
              <w:jc w:val="right"/>
              <w:rPr>
                <w:color w:val="000000"/>
                <w:sz w:val="20"/>
                <w:szCs w:val="20"/>
              </w:rPr>
            </w:pPr>
            <w:r>
              <w:rPr>
                <w:color w:val="000000"/>
                <w:sz w:val="20"/>
                <w:szCs w:val="20"/>
              </w:rPr>
              <w:t>95</w:t>
            </w:r>
          </w:p>
        </w:tc>
        <w:tc>
          <w:tcPr>
            <w:tcW w:w="977" w:type="dxa"/>
            <w:tcBorders>
              <w:top w:val="nil"/>
              <w:left w:val="nil"/>
              <w:bottom w:val="single" w:sz="4" w:space="0" w:color="auto"/>
              <w:right w:val="single" w:sz="4" w:space="0" w:color="auto"/>
            </w:tcBorders>
            <w:shd w:val="clear" w:color="auto" w:fill="auto"/>
            <w:vAlign w:val="center"/>
            <w:hideMark/>
          </w:tcPr>
          <w:p w:rsidR="00737B23" w:rsidRDefault="00737B23" w:rsidP="00737B23">
            <w:pPr>
              <w:jc w:val="right"/>
              <w:rPr>
                <w:color w:val="000000"/>
                <w:sz w:val="20"/>
                <w:szCs w:val="20"/>
              </w:rPr>
            </w:pPr>
            <w:r>
              <w:rPr>
                <w:color w:val="000000"/>
                <w:sz w:val="20"/>
                <w:szCs w:val="20"/>
              </w:rPr>
              <w:t>97</w:t>
            </w:r>
          </w:p>
        </w:tc>
        <w:tc>
          <w:tcPr>
            <w:tcW w:w="977" w:type="dxa"/>
            <w:tcBorders>
              <w:top w:val="nil"/>
              <w:left w:val="nil"/>
              <w:bottom w:val="single" w:sz="4" w:space="0" w:color="auto"/>
              <w:right w:val="single" w:sz="4" w:space="0" w:color="auto"/>
            </w:tcBorders>
            <w:shd w:val="clear" w:color="auto" w:fill="auto"/>
            <w:vAlign w:val="center"/>
            <w:hideMark/>
          </w:tcPr>
          <w:p w:rsidR="00737B23" w:rsidRDefault="00737B23" w:rsidP="00737B23">
            <w:pPr>
              <w:jc w:val="right"/>
              <w:rPr>
                <w:color w:val="000000"/>
                <w:sz w:val="20"/>
                <w:szCs w:val="20"/>
              </w:rPr>
            </w:pPr>
            <w:r>
              <w:rPr>
                <w:color w:val="000000"/>
                <w:sz w:val="20"/>
                <w:szCs w:val="20"/>
              </w:rPr>
              <w:t>100</w:t>
            </w:r>
          </w:p>
        </w:tc>
      </w:tr>
      <w:tr w:rsidR="00737B23" w:rsidTr="00737B23">
        <w:trPr>
          <w:gridAfter w:val="1"/>
          <w:wAfter w:w="1764" w:type="dxa"/>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737B23" w:rsidRDefault="00737B23" w:rsidP="00737B23">
            <w:pPr>
              <w:rPr>
                <w:color w:val="000000"/>
                <w:sz w:val="20"/>
                <w:szCs w:val="20"/>
              </w:rPr>
            </w:pPr>
            <w:r>
              <w:rPr>
                <w:color w:val="000000"/>
                <w:sz w:val="20"/>
                <w:szCs w:val="20"/>
              </w:rPr>
              <w:t>City B</w:t>
            </w:r>
          </w:p>
        </w:tc>
        <w:tc>
          <w:tcPr>
            <w:tcW w:w="977" w:type="dxa"/>
            <w:tcBorders>
              <w:top w:val="nil"/>
              <w:left w:val="nil"/>
              <w:bottom w:val="single" w:sz="4" w:space="0" w:color="auto"/>
              <w:right w:val="single" w:sz="4" w:space="0" w:color="auto"/>
            </w:tcBorders>
            <w:shd w:val="clear" w:color="auto" w:fill="auto"/>
            <w:noWrap/>
            <w:hideMark/>
          </w:tcPr>
          <w:p w:rsidR="00737B23" w:rsidRDefault="00737B23" w:rsidP="00737B23">
            <w:pPr>
              <w:jc w:val="right"/>
              <w:rPr>
                <w:color w:val="FF0000"/>
                <w:sz w:val="20"/>
                <w:szCs w:val="20"/>
              </w:rPr>
            </w:pPr>
            <w:r>
              <w:rPr>
                <w:color w:val="FF0000"/>
                <w:sz w:val="20"/>
                <w:szCs w:val="20"/>
              </w:rPr>
              <w:t>55</w:t>
            </w:r>
          </w:p>
        </w:tc>
        <w:tc>
          <w:tcPr>
            <w:tcW w:w="977" w:type="dxa"/>
            <w:tcBorders>
              <w:top w:val="nil"/>
              <w:left w:val="nil"/>
              <w:bottom w:val="single" w:sz="4" w:space="0" w:color="auto"/>
              <w:right w:val="single" w:sz="4" w:space="0" w:color="auto"/>
            </w:tcBorders>
            <w:shd w:val="clear" w:color="auto" w:fill="auto"/>
            <w:noWrap/>
            <w:hideMark/>
          </w:tcPr>
          <w:p w:rsidR="00737B23" w:rsidRDefault="00737B23" w:rsidP="00737B23">
            <w:pPr>
              <w:jc w:val="right"/>
              <w:rPr>
                <w:color w:val="000000"/>
                <w:sz w:val="20"/>
                <w:szCs w:val="20"/>
              </w:rPr>
            </w:pPr>
            <w:r>
              <w:rPr>
                <w:color w:val="000000"/>
                <w:sz w:val="20"/>
                <w:szCs w:val="20"/>
              </w:rPr>
              <w:t>55</w:t>
            </w:r>
          </w:p>
        </w:tc>
        <w:tc>
          <w:tcPr>
            <w:tcW w:w="977" w:type="dxa"/>
            <w:tcBorders>
              <w:top w:val="nil"/>
              <w:left w:val="nil"/>
              <w:bottom w:val="single" w:sz="4" w:space="0" w:color="auto"/>
              <w:right w:val="single" w:sz="4" w:space="0" w:color="auto"/>
            </w:tcBorders>
            <w:shd w:val="clear" w:color="auto" w:fill="auto"/>
            <w:noWrap/>
            <w:hideMark/>
          </w:tcPr>
          <w:p w:rsidR="00737B23" w:rsidRDefault="00737B23" w:rsidP="00737B23">
            <w:pPr>
              <w:jc w:val="right"/>
              <w:rPr>
                <w:color w:val="000000"/>
                <w:sz w:val="20"/>
                <w:szCs w:val="20"/>
              </w:rPr>
            </w:pPr>
            <w:r>
              <w:rPr>
                <w:color w:val="000000"/>
                <w:sz w:val="20"/>
                <w:szCs w:val="20"/>
              </w:rPr>
              <w:t>60</w:t>
            </w:r>
          </w:p>
        </w:tc>
        <w:tc>
          <w:tcPr>
            <w:tcW w:w="977" w:type="dxa"/>
            <w:tcBorders>
              <w:top w:val="nil"/>
              <w:left w:val="nil"/>
              <w:bottom w:val="single" w:sz="4" w:space="0" w:color="auto"/>
              <w:right w:val="single" w:sz="4" w:space="0" w:color="auto"/>
            </w:tcBorders>
            <w:shd w:val="clear" w:color="auto" w:fill="auto"/>
            <w:noWrap/>
            <w:hideMark/>
          </w:tcPr>
          <w:p w:rsidR="00737B23" w:rsidRDefault="00737B23" w:rsidP="00737B23">
            <w:pPr>
              <w:jc w:val="right"/>
              <w:rPr>
                <w:color w:val="FF0000"/>
                <w:sz w:val="20"/>
                <w:szCs w:val="20"/>
              </w:rPr>
            </w:pPr>
            <w:r>
              <w:rPr>
                <w:color w:val="FF0000"/>
                <w:sz w:val="20"/>
                <w:szCs w:val="20"/>
              </w:rPr>
              <w:t>67</w:t>
            </w:r>
          </w:p>
        </w:tc>
        <w:tc>
          <w:tcPr>
            <w:tcW w:w="977" w:type="dxa"/>
            <w:tcBorders>
              <w:top w:val="nil"/>
              <w:left w:val="nil"/>
              <w:bottom w:val="single" w:sz="4" w:space="0" w:color="auto"/>
              <w:right w:val="single" w:sz="4" w:space="0" w:color="auto"/>
            </w:tcBorders>
            <w:shd w:val="clear" w:color="auto" w:fill="auto"/>
            <w:noWrap/>
            <w:hideMark/>
          </w:tcPr>
          <w:p w:rsidR="00737B23" w:rsidRDefault="00737B23" w:rsidP="00737B23">
            <w:pPr>
              <w:jc w:val="right"/>
              <w:rPr>
                <w:color w:val="FF0000"/>
                <w:sz w:val="20"/>
                <w:szCs w:val="20"/>
              </w:rPr>
            </w:pPr>
            <w:r>
              <w:rPr>
                <w:color w:val="FF0000"/>
                <w:sz w:val="20"/>
                <w:szCs w:val="20"/>
              </w:rPr>
              <w:t>76</w:t>
            </w:r>
          </w:p>
        </w:tc>
        <w:tc>
          <w:tcPr>
            <w:tcW w:w="977" w:type="dxa"/>
            <w:tcBorders>
              <w:top w:val="nil"/>
              <w:left w:val="nil"/>
              <w:bottom w:val="single" w:sz="4" w:space="0" w:color="auto"/>
              <w:right w:val="single" w:sz="4" w:space="0" w:color="auto"/>
            </w:tcBorders>
            <w:shd w:val="clear" w:color="auto" w:fill="auto"/>
            <w:noWrap/>
            <w:hideMark/>
          </w:tcPr>
          <w:p w:rsidR="00737B23" w:rsidRDefault="00737B23" w:rsidP="00737B23">
            <w:pPr>
              <w:jc w:val="right"/>
              <w:rPr>
                <w:color w:val="000000"/>
                <w:sz w:val="20"/>
                <w:szCs w:val="20"/>
              </w:rPr>
            </w:pPr>
            <w:r>
              <w:rPr>
                <w:color w:val="000000"/>
                <w:sz w:val="20"/>
                <w:szCs w:val="20"/>
              </w:rPr>
              <w:t>85</w:t>
            </w:r>
          </w:p>
        </w:tc>
        <w:tc>
          <w:tcPr>
            <w:tcW w:w="977" w:type="dxa"/>
            <w:tcBorders>
              <w:top w:val="nil"/>
              <w:left w:val="nil"/>
              <w:bottom w:val="single" w:sz="4" w:space="0" w:color="auto"/>
              <w:right w:val="single" w:sz="4" w:space="0" w:color="auto"/>
            </w:tcBorders>
            <w:shd w:val="clear" w:color="auto" w:fill="auto"/>
            <w:noWrap/>
            <w:hideMark/>
          </w:tcPr>
          <w:p w:rsidR="00737B23" w:rsidRDefault="00737B23" w:rsidP="00737B23">
            <w:pPr>
              <w:jc w:val="right"/>
              <w:rPr>
                <w:color w:val="000000"/>
                <w:sz w:val="20"/>
                <w:szCs w:val="20"/>
              </w:rPr>
            </w:pPr>
            <w:r>
              <w:rPr>
                <w:color w:val="000000"/>
                <w:sz w:val="20"/>
                <w:szCs w:val="20"/>
              </w:rPr>
              <w:t>90</w:t>
            </w:r>
          </w:p>
        </w:tc>
        <w:tc>
          <w:tcPr>
            <w:tcW w:w="977" w:type="dxa"/>
            <w:tcBorders>
              <w:top w:val="nil"/>
              <w:left w:val="nil"/>
              <w:bottom w:val="single" w:sz="4" w:space="0" w:color="auto"/>
              <w:right w:val="single" w:sz="4" w:space="0" w:color="auto"/>
            </w:tcBorders>
            <w:shd w:val="clear" w:color="auto" w:fill="auto"/>
            <w:noWrap/>
            <w:hideMark/>
          </w:tcPr>
          <w:p w:rsidR="00737B23" w:rsidRDefault="00737B23" w:rsidP="00737B23">
            <w:pPr>
              <w:jc w:val="right"/>
              <w:rPr>
                <w:color w:val="FF0000"/>
                <w:sz w:val="20"/>
                <w:szCs w:val="20"/>
              </w:rPr>
            </w:pPr>
            <w:r>
              <w:rPr>
                <w:color w:val="FF0000"/>
                <w:sz w:val="20"/>
                <w:szCs w:val="20"/>
              </w:rPr>
              <w:t>90</w:t>
            </w:r>
          </w:p>
        </w:tc>
        <w:tc>
          <w:tcPr>
            <w:tcW w:w="977" w:type="dxa"/>
            <w:tcBorders>
              <w:top w:val="nil"/>
              <w:left w:val="nil"/>
              <w:bottom w:val="single" w:sz="4" w:space="0" w:color="auto"/>
              <w:right w:val="single" w:sz="4" w:space="0" w:color="auto"/>
            </w:tcBorders>
            <w:shd w:val="clear" w:color="auto" w:fill="auto"/>
            <w:noWrap/>
            <w:hideMark/>
          </w:tcPr>
          <w:p w:rsidR="00737B23" w:rsidRDefault="00737B23" w:rsidP="00737B23">
            <w:pPr>
              <w:jc w:val="right"/>
              <w:rPr>
                <w:rFonts w:ascii="Calibri" w:hAnsi="Calibri" w:cs="Calibri"/>
                <w:color w:val="000000"/>
                <w:sz w:val="22"/>
                <w:szCs w:val="22"/>
              </w:rPr>
            </w:pPr>
            <w:r>
              <w:rPr>
                <w:rFonts w:ascii="Calibri" w:hAnsi="Calibri" w:cs="Calibri"/>
                <w:color w:val="000000"/>
                <w:sz w:val="22"/>
                <w:szCs w:val="22"/>
              </w:rPr>
              <w:t>102</w:t>
            </w:r>
          </w:p>
        </w:tc>
      </w:tr>
      <w:tr w:rsidR="00737B23" w:rsidTr="00737B23">
        <w:trPr>
          <w:gridAfter w:val="1"/>
          <w:wAfter w:w="1764"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37B23" w:rsidRDefault="00737B23" w:rsidP="00737B23">
            <w:pPr>
              <w:rPr>
                <w:color w:val="000000"/>
                <w:sz w:val="20"/>
                <w:szCs w:val="20"/>
              </w:rPr>
            </w:pPr>
            <w:r>
              <w:rPr>
                <w:color w:val="000000"/>
                <w:sz w:val="20"/>
                <w:szCs w:val="20"/>
              </w:rPr>
              <w:t>City C</w:t>
            </w:r>
          </w:p>
        </w:tc>
        <w:tc>
          <w:tcPr>
            <w:tcW w:w="977" w:type="dxa"/>
            <w:tcBorders>
              <w:top w:val="nil"/>
              <w:left w:val="nil"/>
              <w:bottom w:val="single" w:sz="4" w:space="0" w:color="auto"/>
              <w:right w:val="single" w:sz="4" w:space="0" w:color="auto"/>
            </w:tcBorders>
            <w:shd w:val="clear" w:color="auto" w:fill="auto"/>
            <w:vAlign w:val="center"/>
            <w:hideMark/>
          </w:tcPr>
          <w:p w:rsidR="00737B23" w:rsidRDefault="00737B23" w:rsidP="00737B23">
            <w:pPr>
              <w:jc w:val="right"/>
              <w:rPr>
                <w:color w:val="000000"/>
                <w:sz w:val="20"/>
                <w:szCs w:val="20"/>
              </w:rPr>
            </w:pPr>
            <w:r>
              <w:rPr>
                <w:color w:val="000000"/>
                <w:sz w:val="20"/>
                <w:szCs w:val="20"/>
              </w:rPr>
              <w:t>150</w:t>
            </w:r>
          </w:p>
        </w:tc>
        <w:tc>
          <w:tcPr>
            <w:tcW w:w="977" w:type="dxa"/>
            <w:tcBorders>
              <w:top w:val="nil"/>
              <w:left w:val="nil"/>
              <w:bottom w:val="single" w:sz="4" w:space="0" w:color="auto"/>
              <w:right w:val="single" w:sz="4" w:space="0" w:color="auto"/>
            </w:tcBorders>
            <w:shd w:val="clear" w:color="auto" w:fill="auto"/>
            <w:vAlign w:val="center"/>
            <w:hideMark/>
          </w:tcPr>
          <w:p w:rsidR="00737B23" w:rsidRDefault="00737B23" w:rsidP="00737B23">
            <w:pPr>
              <w:jc w:val="right"/>
              <w:rPr>
                <w:color w:val="000000"/>
                <w:sz w:val="20"/>
                <w:szCs w:val="20"/>
              </w:rPr>
            </w:pPr>
            <w:r>
              <w:rPr>
                <w:color w:val="000000"/>
                <w:sz w:val="20"/>
                <w:szCs w:val="20"/>
              </w:rPr>
              <w:t>154</w:t>
            </w:r>
          </w:p>
        </w:tc>
        <w:tc>
          <w:tcPr>
            <w:tcW w:w="977" w:type="dxa"/>
            <w:tcBorders>
              <w:top w:val="nil"/>
              <w:left w:val="nil"/>
              <w:bottom w:val="single" w:sz="4" w:space="0" w:color="auto"/>
              <w:right w:val="single" w:sz="4" w:space="0" w:color="auto"/>
            </w:tcBorders>
            <w:shd w:val="clear" w:color="auto" w:fill="auto"/>
            <w:vAlign w:val="center"/>
            <w:hideMark/>
          </w:tcPr>
          <w:p w:rsidR="00737B23" w:rsidRDefault="00737B23" w:rsidP="00737B23">
            <w:pPr>
              <w:jc w:val="right"/>
              <w:rPr>
                <w:color w:val="FF0000"/>
                <w:sz w:val="20"/>
                <w:szCs w:val="20"/>
              </w:rPr>
            </w:pPr>
            <w:r>
              <w:rPr>
                <w:color w:val="FF0000"/>
                <w:sz w:val="20"/>
                <w:szCs w:val="20"/>
              </w:rPr>
              <w:t>160</w:t>
            </w:r>
          </w:p>
        </w:tc>
        <w:tc>
          <w:tcPr>
            <w:tcW w:w="977" w:type="dxa"/>
            <w:tcBorders>
              <w:top w:val="nil"/>
              <w:left w:val="nil"/>
              <w:bottom w:val="single" w:sz="4" w:space="0" w:color="auto"/>
              <w:right w:val="single" w:sz="4" w:space="0" w:color="auto"/>
            </w:tcBorders>
            <w:shd w:val="clear" w:color="auto" w:fill="auto"/>
            <w:vAlign w:val="center"/>
            <w:hideMark/>
          </w:tcPr>
          <w:p w:rsidR="00737B23" w:rsidRDefault="00737B23" w:rsidP="00737B23">
            <w:pPr>
              <w:jc w:val="right"/>
              <w:rPr>
                <w:color w:val="FF0000"/>
                <w:sz w:val="20"/>
                <w:szCs w:val="20"/>
              </w:rPr>
            </w:pPr>
            <w:r>
              <w:rPr>
                <w:color w:val="FF0000"/>
                <w:sz w:val="20"/>
                <w:szCs w:val="20"/>
              </w:rPr>
              <w:t>167</w:t>
            </w:r>
          </w:p>
        </w:tc>
        <w:tc>
          <w:tcPr>
            <w:tcW w:w="977" w:type="dxa"/>
            <w:tcBorders>
              <w:top w:val="nil"/>
              <w:left w:val="nil"/>
              <w:bottom w:val="single" w:sz="4" w:space="0" w:color="auto"/>
              <w:right w:val="single" w:sz="4" w:space="0" w:color="auto"/>
            </w:tcBorders>
            <w:shd w:val="clear" w:color="auto" w:fill="auto"/>
            <w:vAlign w:val="center"/>
            <w:hideMark/>
          </w:tcPr>
          <w:p w:rsidR="00737B23" w:rsidRDefault="00737B23" w:rsidP="00737B23">
            <w:pPr>
              <w:jc w:val="right"/>
              <w:rPr>
                <w:color w:val="000000"/>
                <w:sz w:val="20"/>
                <w:szCs w:val="20"/>
              </w:rPr>
            </w:pPr>
            <w:r>
              <w:rPr>
                <w:color w:val="000000"/>
                <w:sz w:val="20"/>
                <w:szCs w:val="20"/>
              </w:rPr>
              <w:t>174</w:t>
            </w:r>
          </w:p>
        </w:tc>
        <w:tc>
          <w:tcPr>
            <w:tcW w:w="977" w:type="dxa"/>
            <w:tcBorders>
              <w:top w:val="nil"/>
              <w:left w:val="nil"/>
              <w:bottom w:val="single" w:sz="4" w:space="0" w:color="auto"/>
              <w:right w:val="single" w:sz="4" w:space="0" w:color="auto"/>
            </w:tcBorders>
            <w:shd w:val="clear" w:color="auto" w:fill="auto"/>
            <w:vAlign w:val="center"/>
            <w:hideMark/>
          </w:tcPr>
          <w:p w:rsidR="00737B23" w:rsidRDefault="00737B23" w:rsidP="00737B23">
            <w:pPr>
              <w:jc w:val="right"/>
              <w:rPr>
                <w:color w:val="000000"/>
                <w:sz w:val="20"/>
                <w:szCs w:val="20"/>
              </w:rPr>
            </w:pPr>
            <w:r>
              <w:rPr>
                <w:color w:val="000000"/>
                <w:sz w:val="20"/>
                <w:szCs w:val="20"/>
              </w:rPr>
              <w:t>180</w:t>
            </w:r>
          </w:p>
        </w:tc>
        <w:tc>
          <w:tcPr>
            <w:tcW w:w="977" w:type="dxa"/>
            <w:tcBorders>
              <w:top w:val="nil"/>
              <w:left w:val="nil"/>
              <w:bottom w:val="single" w:sz="4" w:space="0" w:color="auto"/>
              <w:right w:val="single" w:sz="4" w:space="0" w:color="auto"/>
            </w:tcBorders>
            <w:shd w:val="clear" w:color="auto" w:fill="auto"/>
            <w:vAlign w:val="center"/>
            <w:hideMark/>
          </w:tcPr>
          <w:p w:rsidR="00737B23" w:rsidRDefault="00737B23" w:rsidP="00737B23">
            <w:pPr>
              <w:jc w:val="right"/>
              <w:rPr>
                <w:color w:val="FF0000"/>
                <w:sz w:val="20"/>
                <w:szCs w:val="20"/>
              </w:rPr>
            </w:pPr>
            <w:r>
              <w:rPr>
                <w:color w:val="FF0000"/>
                <w:sz w:val="20"/>
                <w:szCs w:val="20"/>
              </w:rPr>
              <w:t>180</w:t>
            </w:r>
          </w:p>
        </w:tc>
        <w:tc>
          <w:tcPr>
            <w:tcW w:w="977" w:type="dxa"/>
            <w:tcBorders>
              <w:top w:val="nil"/>
              <w:left w:val="nil"/>
              <w:bottom w:val="single" w:sz="4" w:space="0" w:color="auto"/>
              <w:right w:val="single" w:sz="4" w:space="0" w:color="auto"/>
            </w:tcBorders>
            <w:shd w:val="clear" w:color="auto" w:fill="auto"/>
            <w:vAlign w:val="center"/>
            <w:hideMark/>
          </w:tcPr>
          <w:p w:rsidR="00737B23" w:rsidRDefault="00737B23" w:rsidP="00737B23">
            <w:pPr>
              <w:jc w:val="right"/>
              <w:rPr>
                <w:color w:val="FF0000"/>
                <w:sz w:val="20"/>
                <w:szCs w:val="20"/>
              </w:rPr>
            </w:pPr>
            <w:r>
              <w:rPr>
                <w:color w:val="FF0000"/>
                <w:sz w:val="20"/>
                <w:szCs w:val="20"/>
              </w:rPr>
              <w:t>180</w:t>
            </w:r>
          </w:p>
        </w:tc>
        <w:tc>
          <w:tcPr>
            <w:tcW w:w="977" w:type="dxa"/>
            <w:tcBorders>
              <w:top w:val="nil"/>
              <w:left w:val="nil"/>
              <w:bottom w:val="single" w:sz="4" w:space="0" w:color="auto"/>
              <w:right w:val="single" w:sz="4" w:space="0" w:color="auto"/>
            </w:tcBorders>
            <w:shd w:val="clear" w:color="auto" w:fill="auto"/>
            <w:vAlign w:val="center"/>
            <w:hideMark/>
          </w:tcPr>
          <w:p w:rsidR="00737B23" w:rsidRDefault="00737B23" w:rsidP="00737B23">
            <w:pPr>
              <w:jc w:val="right"/>
              <w:rPr>
                <w:color w:val="FF0000"/>
                <w:sz w:val="20"/>
                <w:szCs w:val="20"/>
              </w:rPr>
            </w:pPr>
            <w:r>
              <w:rPr>
                <w:color w:val="FF0000"/>
                <w:sz w:val="20"/>
                <w:szCs w:val="20"/>
              </w:rPr>
              <w:t>180</w:t>
            </w:r>
          </w:p>
        </w:tc>
      </w:tr>
      <w:tr w:rsidR="00737B23" w:rsidTr="00737B23">
        <w:trPr>
          <w:gridAfter w:val="1"/>
          <w:wAfter w:w="1764"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37B23" w:rsidRDefault="00737B23" w:rsidP="00737B23">
            <w:pPr>
              <w:rPr>
                <w:color w:val="000000"/>
                <w:sz w:val="20"/>
                <w:szCs w:val="20"/>
              </w:rPr>
            </w:pPr>
            <w:r>
              <w:rPr>
                <w:color w:val="000000"/>
                <w:sz w:val="20"/>
                <w:szCs w:val="20"/>
              </w:rPr>
              <w:t>City D</w:t>
            </w:r>
          </w:p>
        </w:tc>
        <w:tc>
          <w:tcPr>
            <w:tcW w:w="977" w:type="dxa"/>
            <w:tcBorders>
              <w:top w:val="nil"/>
              <w:left w:val="nil"/>
              <w:bottom w:val="single" w:sz="4" w:space="0" w:color="auto"/>
              <w:right w:val="single" w:sz="4" w:space="0" w:color="auto"/>
            </w:tcBorders>
            <w:shd w:val="clear" w:color="auto" w:fill="auto"/>
            <w:vAlign w:val="center"/>
            <w:hideMark/>
          </w:tcPr>
          <w:p w:rsidR="00737B23" w:rsidRDefault="00737B23" w:rsidP="00737B23">
            <w:pPr>
              <w:jc w:val="right"/>
              <w:rPr>
                <w:color w:val="000000"/>
                <w:sz w:val="20"/>
                <w:szCs w:val="20"/>
              </w:rPr>
            </w:pPr>
            <w:r>
              <w:rPr>
                <w:color w:val="000000"/>
                <w:sz w:val="20"/>
                <w:szCs w:val="20"/>
              </w:rPr>
              <w:t>140</w:t>
            </w:r>
          </w:p>
        </w:tc>
        <w:tc>
          <w:tcPr>
            <w:tcW w:w="977" w:type="dxa"/>
            <w:tcBorders>
              <w:top w:val="nil"/>
              <w:left w:val="nil"/>
              <w:bottom w:val="single" w:sz="4" w:space="0" w:color="auto"/>
              <w:right w:val="single" w:sz="4" w:space="0" w:color="auto"/>
            </w:tcBorders>
            <w:shd w:val="clear" w:color="auto" w:fill="auto"/>
            <w:vAlign w:val="center"/>
            <w:hideMark/>
          </w:tcPr>
          <w:p w:rsidR="00737B23" w:rsidRDefault="00737B23" w:rsidP="00737B23">
            <w:pPr>
              <w:jc w:val="right"/>
              <w:rPr>
                <w:color w:val="FF0000"/>
                <w:sz w:val="20"/>
                <w:szCs w:val="20"/>
              </w:rPr>
            </w:pPr>
            <w:r>
              <w:rPr>
                <w:color w:val="FF0000"/>
                <w:sz w:val="20"/>
                <w:szCs w:val="20"/>
              </w:rPr>
              <w:t>131</w:t>
            </w:r>
          </w:p>
        </w:tc>
        <w:tc>
          <w:tcPr>
            <w:tcW w:w="977" w:type="dxa"/>
            <w:tcBorders>
              <w:top w:val="nil"/>
              <w:left w:val="nil"/>
              <w:bottom w:val="single" w:sz="4" w:space="0" w:color="auto"/>
              <w:right w:val="single" w:sz="4" w:space="0" w:color="auto"/>
            </w:tcBorders>
            <w:shd w:val="clear" w:color="auto" w:fill="auto"/>
            <w:vAlign w:val="center"/>
            <w:hideMark/>
          </w:tcPr>
          <w:p w:rsidR="00737B23" w:rsidRDefault="00737B23" w:rsidP="00737B23">
            <w:pPr>
              <w:jc w:val="right"/>
              <w:rPr>
                <w:color w:val="FF0000"/>
                <w:sz w:val="20"/>
                <w:szCs w:val="20"/>
              </w:rPr>
            </w:pPr>
            <w:r>
              <w:rPr>
                <w:color w:val="FF0000"/>
                <w:sz w:val="20"/>
                <w:szCs w:val="20"/>
              </w:rPr>
              <w:t>123</w:t>
            </w:r>
          </w:p>
        </w:tc>
        <w:tc>
          <w:tcPr>
            <w:tcW w:w="977" w:type="dxa"/>
            <w:tcBorders>
              <w:top w:val="nil"/>
              <w:left w:val="nil"/>
              <w:bottom w:val="single" w:sz="4" w:space="0" w:color="auto"/>
              <w:right w:val="single" w:sz="4" w:space="0" w:color="auto"/>
            </w:tcBorders>
            <w:shd w:val="clear" w:color="auto" w:fill="auto"/>
            <w:vAlign w:val="center"/>
            <w:hideMark/>
          </w:tcPr>
          <w:p w:rsidR="00737B23" w:rsidRDefault="00737B23" w:rsidP="00737B23">
            <w:pPr>
              <w:jc w:val="right"/>
              <w:rPr>
                <w:color w:val="000000"/>
                <w:sz w:val="20"/>
                <w:szCs w:val="20"/>
              </w:rPr>
            </w:pPr>
            <w:r>
              <w:rPr>
                <w:color w:val="000000"/>
                <w:sz w:val="20"/>
                <w:szCs w:val="20"/>
              </w:rPr>
              <w:t>115</w:t>
            </w:r>
          </w:p>
        </w:tc>
        <w:tc>
          <w:tcPr>
            <w:tcW w:w="977" w:type="dxa"/>
            <w:tcBorders>
              <w:top w:val="nil"/>
              <w:left w:val="nil"/>
              <w:bottom w:val="single" w:sz="4" w:space="0" w:color="auto"/>
              <w:right w:val="single" w:sz="4" w:space="0" w:color="auto"/>
            </w:tcBorders>
            <w:shd w:val="clear" w:color="auto" w:fill="auto"/>
            <w:vAlign w:val="center"/>
            <w:hideMark/>
          </w:tcPr>
          <w:p w:rsidR="00737B23" w:rsidRDefault="00737B23" w:rsidP="00737B23">
            <w:pPr>
              <w:jc w:val="right"/>
              <w:rPr>
                <w:color w:val="000000"/>
                <w:sz w:val="20"/>
                <w:szCs w:val="20"/>
              </w:rPr>
            </w:pPr>
            <w:r>
              <w:rPr>
                <w:color w:val="000000"/>
                <w:sz w:val="20"/>
                <w:szCs w:val="20"/>
              </w:rPr>
              <w:t>120</w:t>
            </w:r>
          </w:p>
        </w:tc>
        <w:tc>
          <w:tcPr>
            <w:tcW w:w="977" w:type="dxa"/>
            <w:tcBorders>
              <w:top w:val="nil"/>
              <w:left w:val="nil"/>
              <w:bottom w:val="single" w:sz="4" w:space="0" w:color="auto"/>
              <w:right w:val="single" w:sz="4" w:space="0" w:color="auto"/>
            </w:tcBorders>
            <w:shd w:val="clear" w:color="auto" w:fill="auto"/>
            <w:vAlign w:val="center"/>
            <w:hideMark/>
          </w:tcPr>
          <w:p w:rsidR="00737B23" w:rsidRDefault="00737B23" w:rsidP="00737B23">
            <w:pPr>
              <w:jc w:val="right"/>
              <w:rPr>
                <w:color w:val="000000"/>
                <w:sz w:val="20"/>
                <w:szCs w:val="20"/>
              </w:rPr>
            </w:pPr>
            <w:r>
              <w:rPr>
                <w:color w:val="000000"/>
                <w:sz w:val="20"/>
                <w:szCs w:val="20"/>
              </w:rPr>
              <w:t>125</w:t>
            </w:r>
          </w:p>
        </w:tc>
        <w:tc>
          <w:tcPr>
            <w:tcW w:w="977" w:type="dxa"/>
            <w:tcBorders>
              <w:top w:val="nil"/>
              <w:left w:val="nil"/>
              <w:bottom w:val="single" w:sz="4" w:space="0" w:color="auto"/>
              <w:right w:val="single" w:sz="4" w:space="0" w:color="auto"/>
            </w:tcBorders>
            <w:shd w:val="clear" w:color="auto" w:fill="auto"/>
            <w:vAlign w:val="center"/>
            <w:hideMark/>
          </w:tcPr>
          <w:p w:rsidR="00737B23" w:rsidRDefault="00737B23" w:rsidP="00737B23">
            <w:pPr>
              <w:jc w:val="right"/>
              <w:rPr>
                <w:color w:val="000000"/>
                <w:sz w:val="20"/>
                <w:szCs w:val="20"/>
              </w:rPr>
            </w:pPr>
            <w:r>
              <w:rPr>
                <w:color w:val="000000"/>
                <w:sz w:val="20"/>
                <w:szCs w:val="20"/>
              </w:rPr>
              <w:t>127</w:t>
            </w:r>
          </w:p>
        </w:tc>
        <w:tc>
          <w:tcPr>
            <w:tcW w:w="977" w:type="dxa"/>
            <w:tcBorders>
              <w:top w:val="nil"/>
              <w:left w:val="nil"/>
              <w:bottom w:val="single" w:sz="4" w:space="0" w:color="auto"/>
              <w:right w:val="single" w:sz="4" w:space="0" w:color="auto"/>
            </w:tcBorders>
            <w:shd w:val="clear" w:color="auto" w:fill="auto"/>
            <w:vAlign w:val="center"/>
            <w:hideMark/>
          </w:tcPr>
          <w:p w:rsidR="00737B23" w:rsidRDefault="00737B23" w:rsidP="00737B23">
            <w:pPr>
              <w:jc w:val="right"/>
              <w:rPr>
                <w:color w:val="000000"/>
                <w:sz w:val="20"/>
                <w:szCs w:val="20"/>
              </w:rPr>
            </w:pPr>
            <w:r>
              <w:rPr>
                <w:color w:val="000000"/>
                <w:sz w:val="20"/>
                <w:szCs w:val="20"/>
              </w:rPr>
              <w:t>130</w:t>
            </w:r>
          </w:p>
        </w:tc>
        <w:tc>
          <w:tcPr>
            <w:tcW w:w="977" w:type="dxa"/>
            <w:tcBorders>
              <w:top w:val="nil"/>
              <w:left w:val="nil"/>
              <w:bottom w:val="single" w:sz="4" w:space="0" w:color="auto"/>
              <w:right w:val="single" w:sz="4" w:space="0" w:color="auto"/>
            </w:tcBorders>
            <w:shd w:val="clear" w:color="auto" w:fill="auto"/>
            <w:noWrap/>
            <w:vAlign w:val="bottom"/>
            <w:hideMark/>
          </w:tcPr>
          <w:p w:rsidR="00737B23" w:rsidRDefault="00737B23" w:rsidP="00737B23">
            <w:pPr>
              <w:jc w:val="right"/>
              <w:rPr>
                <w:rFonts w:ascii="Calibri" w:hAnsi="Calibri" w:cs="Calibri"/>
                <w:color w:val="000000"/>
                <w:sz w:val="22"/>
                <w:szCs w:val="22"/>
              </w:rPr>
            </w:pPr>
            <w:r>
              <w:rPr>
                <w:rFonts w:ascii="Calibri" w:hAnsi="Calibri" w:cs="Calibri"/>
                <w:color w:val="000000"/>
                <w:sz w:val="22"/>
                <w:szCs w:val="22"/>
              </w:rPr>
              <w:t>135</w:t>
            </w:r>
          </w:p>
        </w:tc>
      </w:tr>
    </w:tbl>
    <w:p w:rsidR="008D290B" w:rsidRDefault="008D290B" w:rsidP="008D290B">
      <w:pPr>
        <w:pStyle w:val="Bullets"/>
        <w:widowControl w:val="0"/>
        <w:numPr>
          <w:ilvl w:val="0"/>
          <w:numId w:val="0"/>
        </w:numPr>
        <w:rPr>
          <w:rFonts w:ascii="Times New Roman" w:hAnsi="Times New Roman"/>
          <w:sz w:val="20"/>
          <w:szCs w:val="20"/>
        </w:rPr>
      </w:pPr>
      <w:r w:rsidRPr="0036585D">
        <w:rPr>
          <w:rFonts w:ascii="Times New Roman" w:hAnsi="Times New Roman"/>
          <w:sz w:val="20"/>
          <w:szCs w:val="20"/>
        </w:rPr>
        <w:t xml:space="preserve">*using Excel growth function for filling in data within a time series and assuming no change after latest year available </w:t>
      </w:r>
    </w:p>
    <w:p w:rsidR="002529EF" w:rsidRDefault="002529EF" w:rsidP="002529EF">
      <w:pPr>
        <w:pStyle w:val="Default"/>
        <w:keepNext/>
        <w:keepLines/>
        <w:spacing w:before="180" w:line="360" w:lineRule="auto"/>
        <w:rPr>
          <w:rFonts w:ascii="Times New Roman" w:hAnsi="Times New Roman" w:cs="Times New Roman"/>
          <w:b/>
          <w:sz w:val="22"/>
          <w:szCs w:val="22"/>
          <w:lang w:val="en-GB" w:eastAsia="en-GB"/>
        </w:rPr>
      </w:pPr>
      <w:r w:rsidRPr="00573B48">
        <w:rPr>
          <w:rFonts w:ascii="Times New Roman" w:hAnsi="Times New Roman" w:cs="Times New Roman"/>
          <w:b/>
          <w:sz w:val="22"/>
          <w:szCs w:val="22"/>
          <w:lang w:val="en-GB" w:eastAsia="en-GB"/>
        </w:rPr>
        <w:lastRenderedPageBreak/>
        <w:t xml:space="preserve">Reported population living in waste-water catchment areas in cities A, B, C, D </w:t>
      </w:r>
    </w:p>
    <w:tbl>
      <w:tblPr>
        <w:tblW w:w="9709" w:type="dxa"/>
        <w:tblInd w:w="113" w:type="dxa"/>
        <w:tblLayout w:type="fixed"/>
        <w:tblLook w:val="04A0"/>
      </w:tblPr>
      <w:tblGrid>
        <w:gridCol w:w="805"/>
        <w:gridCol w:w="900"/>
        <w:gridCol w:w="888"/>
        <w:gridCol w:w="1016"/>
        <w:gridCol w:w="1016"/>
        <w:gridCol w:w="1016"/>
        <w:gridCol w:w="1016"/>
        <w:gridCol w:w="1016"/>
        <w:gridCol w:w="1016"/>
        <w:gridCol w:w="1020"/>
      </w:tblGrid>
      <w:tr w:rsidR="00737B23" w:rsidTr="00C26E94">
        <w:trPr>
          <w:trHeight w:val="300"/>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B23" w:rsidRDefault="00737B23" w:rsidP="00737B23">
            <w:pPr>
              <w:keepNext/>
              <w:keepLines/>
              <w:rPr>
                <w:color w:val="000000"/>
                <w:sz w:val="20"/>
                <w:szCs w:val="20"/>
                <w:lang w:eastAsia="zh-CN"/>
              </w:rPr>
            </w:pPr>
            <w:r>
              <w:rPr>
                <w:color w:val="000000"/>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737B23" w:rsidRPr="00CE6EC4" w:rsidRDefault="00737B23" w:rsidP="00737B23">
            <w:pPr>
              <w:keepNext/>
              <w:keepLines/>
              <w:jc w:val="right"/>
              <w:rPr>
                <w:color w:val="000000"/>
                <w:sz w:val="20"/>
                <w:szCs w:val="20"/>
              </w:rPr>
            </w:pPr>
            <w:r>
              <w:rPr>
                <w:color w:val="000000"/>
                <w:sz w:val="20"/>
                <w:szCs w:val="20"/>
              </w:rPr>
              <w:t>2014</w:t>
            </w:r>
          </w:p>
        </w:tc>
        <w:tc>
          <w:tcPr>
            <w:tcW w:w="888" w:type="dxa"/>
            <w:tcBorders>
              <w:top w:val="single" w:sz="4" w:space="0" w:color="auto"/>
              <w:left w:val="nil"/>
              <w:bottom w:val="single" w:sz="4" w:space="0" w:color="auto"/>
              <w:right w:val="single" w:sz="4" w:space="0" w:color="auto"/>
            </w:tcBorders>
            <w:shd w:val="clear" w:color="auto" w:fill="auto"/>
            <w:vAlign w:val="center"/>
          </w:tcPr>
          <w:p w:rsidR="00737B23" w:rsidRPr="00CE6EC4" w:rsidRDefault="00737B23" w:rsidP="00737B23">
            <w:pPr>
              <w:keepNext/>
              <w:keepLines/>
              <w:jc w:val="right"/>
              <w:rPr>
                <w:color w:val="000000"/>
                <w:sz w:val="20"/>
                <w:szCs w:val="20"/>
              </w:rPr>
            </w:pPr>
            <w:r>
              <w:rPr>
                <w:color w:val="000000"/>
                <w:sz w:val="20"/>
                <w:szCs w:val="20"/>
              </w:rPr>
              <w:t>2015</w:t>
            </w:r>
          </w:p>
        </w:tc>
        <w:tc>
          <w:tcPr>
            <w:tcW w:w="1016" w:type="dxa"/>
            <w:tcBorders>
              <w:top w:val="single" w:sz="4" w:space="0" w:color="auto"/>
              <w:left w:val="nil"/>
              <w:bottom w:val="single" w:sz="4" w:space="0" w:color="auto"/>
              <w:right w:val="single" w:sz="4" w:space="0" w:color="auto"/>
            </w:tcBorders>
            <w:shd w:val="clear" w:color="auto" w:fill="auto"/>
            <w:vAlign w:val="center"/>
          </w:tcPr>
          <w:p w:rsidR="00737B23" w:rsidRPr="00CE6EC4" w:rsidRDefault="00737B23" w:rsidP="00737B23">
            <w:pPr>
              <w:keepNext/>
              <w:keepLines/>
              <w:jc w:val="right"/>
              <w:rPr>
                <w:color w:val="000000"/>
                <w:sz w:val="20"/>
                <w:szCs w:val="20"/>
              </w:rPr>
            </w:pPr>
            <w:r>
              <w:rPr>
                <w:color w:val="000000"/>
                <w:sz w:val="20"/>
                <w:szCs w:val="20"/>
              </w:rPr>
              <w:t>2017</w:t>
            </w:r>
          </w:p>
        </w:tc>
        <w:tc>
          <w:tcPr>
            <w:tcW w:w="1016" w:type="dxa"/>
            <w:tcBorders>
              <w:top w:val="single" w:sz="4" w:space="0" w:color="auto"/>
              <w:left w:val="nil"/>
              <w:bottom w:val="single" w:sz="4" w:space="0" w:color="auto"/>
              <w:right w:val="single" w:sz="4" w:space="0" w:color="auto"/>
            </w:tcBorders>
            <w:shd w:val="clear" w:color="auto" w:fill="auto"/>
            <w:vAlign w:val="center"/>
          </w:tcPr>
          <w:p w:rsidR="00737B23" w:rsidRPr="00CE6EC4" w:rsidRDefault="00737B23" w:rsidP="00737B23">
            <w:pPr>
              <w:keepNext/>
              <w:keepLines/>
              <w:jc w:val="right"/>
              <w:rPr>
                <w:color w:val="000000"/>
                <w:sz w:val="20"/>
                <w:szCs w:val="20"/>
              </w:rPr>
            </w:pPr>
            <w:r>
              <w:rPr>
                <w:color w:val="000000"/>
                <w:sz w:val="20"/>
                <w:szCs w:val="20"/>
              </w:rPr>
              <w:t>2017</w:t>
            </w:r>
          </w:p>
        </w:tc>
        <w:tc>
          <w:tcPr>
            <w:tcW w:w="1016" w:type="dxa"/>
            <w:tcBorders>
              <w:top w:val="single" w:sz="4" w:space="0" w:color="auto"/>
              <w:left w:val="nil"/>
              <w:bottom w:val="single" w:sz="4" w:space="0" w:color="auto"/>
              <w:right w:val="single" w:sz="4" w:space="0" w:color="auto"/>
            </w:tcBorders>
            <w:shd w:val="clear" w:color="auto" w:fill="auto"/>
            <w:vAlign w:val="center"/>
          </w:tcPr>
          <w:p w:rsidR="00737B23" w:rsidRPr="00CE6EC4" w:rsidRDefault="00737B23" w:rsidP="00737B23">
            <w:pPr>
              <w:keepNext/>
              <w:keepLines/>
              <w:jc w:val="right"/>
              <w:rPr>
                <w:color w:val="000000"/>
                <w:sz w:val="20"/>
                <w:szCs w:val="20"/>
              </w:rPr>
            </w:pPr>
            <w:r>
              <w:rPr>
                <w:color w:val="000000"/>
                <w:sz w:val="20"/>
                <w:szCs w:val="20"/>
              </w:rPr>
              <w:t>2018</w:t>
            </w:r>
          </w:p>
        </w:tc>
        <w:tc>
          <w:tcPr>
            <w:tcW w:w="1016" w:type="dxa"/>
            <w:tcBorders>
              <w:top w:val="single" w:sz="4" w:space="0" w:color="auto"/>
              <w:left w:val="nil"/>
              <w:bottom w:val="single" w:sz="4" w:space="0" w:color="auto"/>
              <w:right w:val="single" w:sz="4" w:space="0" w:color="auto"/>
            </w:tcBorders>
            <w:shd w:val="clear" w:color="auto" w:fill="auto"/>
            <w:vAlign w:val="center"/>
          </w:tcPr>
          <w:p w:rsidR="00737B23" w:rsidRPr="00CE6EC4" w:rsidRDefault="00737B23" w:rsidP="00737B23">
            <w:pPr>
              <w:keepNext/>
              <w:keepLines/>
              <w:jc w:val="right"/>
              <w:rPr>
                <w:color w:val="000000"/>
                <w:sz w:val="20"/>
                <w:szCs w:val="20"/>
              </w:rPr>
            </w:pPr>
            <w:r>
              <w:rPr>
                <w:color w:val="000000"/>
                <w:sz w:val="20"/>
                <w:szCs w:val="20"/>
              </w:rPr>
              <w:t>2019</w:t>
            </w:r>
          </w:p>
        </w:tc>
        <w:tc>
          <w:tcPr>
            <w:tcW w:w="1016" w:type="dxa"/>
            <w:tcBorders>
              <w:top w:val="single" w:sz="4" w:space="0" w:color="auto"/>
              <w:left w:val="nil"/>
              <w:bottom w:val="single" w:sz="4" w:space="0" w:color="auto"/>
              <w:right w:val="single" w:sz="4" w:space="0" w:color="auto"/>
            </w:tcBorders>
            <w:shd w:val="clear" w:color="auto" w:fill="auto"/>
            <w:vAlign w:val="center"/>
          </w:tcPr>
          <w:p w:rsidR="00737B23" w:rsidRPr="00CE6EC4" w:rsidRDefault="00737B23" w:rsidP="00737B23">
            <w:pPr>
              <w:keepNext/>
              <w:keepLines/>
              <w:jc w:val="right"/>
              <w:rPr>
                <w:color w:val="000000"/>
                <w:sz w:val="20"/>
                <w:szCs w:val="20"/>
              </w:rPr>
            </w:pPr>
            <w:r>
              <w:rPr>
                <w:color w:val="000000"/>
                <w:sz w:val="20"/>
                <w:szCs w:val="20"/>
              </w:rPr>
              <w:t>2020</w:t>
            </w:r>
          </w:p>
        </w:tc>
        <w:tc>
          <w:tcPr>
            <w:tcW w:w="1016" w:type="dxa"/>
            <w:tcBorders>
              <w:top w:val="single" w:sz="4" w:space="0" w:color="auto"/>
              <w:left w:val="nil"/>
              <w:bottom w:val="single" w:sz="4" w:space="0" w:color="auto"/>
              <w:right w:val="single" w:sz="4" w:space="0" w:color="auto"/>
            </w:tcBorders>
            <w:shd w:val="clear" w:color="auto" w:fill="auto"/>
            <w:vAlign w:val="center"/>
          </w:tcPr>
          <w:p w:rsidR="00737B23" w:rsidRPr="00CE6EC4" w:rsidRDefault="00737B23" w:rsidP="00737B23">
            <w:pPr>
              <w:keepNext/>
              <w:keepLines/>
              <w:jc w:val="right"/>
              <w:rPr>
                <w:color w:val="000000"/>
                <w:sz w:val="20"/>
                <w:szCs w:val="20"/>
              </w:rPr>
            </w:pPr>
            <w:r>
              <w:rPr>
                <w:color w:val="000000"/>
                <w:sz w:val="20"/>
                <w:szCs w:val="20"/>
              </w:rPr>
              <w:t>2021</w:t>
            </w:r>
          </w:p>
        </w:tc>
        <w:tc>
          <w:tcPr>
            <w:tcW w:w="1020" w:type="dxa"/>
            <w:tcBorders>
              <w:top w:val="single" w:sz="4" w:space="0" w:color="auto"/>
              <w:left w:val="nil"/>
              <w:bottom w:val="single" w:sz="4" w:space="0" w:color="auto"/>
              <w:right w:val="single" w:sz="4" w:space="0" w:color="auto"/>
            </w:tcBorders>
            <w:shd w:val="clear" w:color="auto" w:fill="auto"/>
            <w:vAlign w:val="center"/>
          </w:tcPr>
          <w:p w:rsidR="00737B23" w:rsidRPr="00CE6EC4" w:rsidRDefault="00737B23" w:rsidP="00737B23">
            <w:pPr>
              <w:keepNext/>
              <w:keepLines/>
              <w:jc w:val="right"/>
              <w:rPr>
                <w:color w:val="000000"/>
                <w:sz w:val="20"/>
                <w:szCs w:val="20"/>
              </w:rPr>
            </w:pPr>
            <w:r>
              <w:rPr>
                <w:color w:val="000000"/>
                <w:sz w:val="20"/>
                <w:szCs w:val="20"/>
              </w:rPr>
              <w:t>2022</w:t>
            </w:r>
          </w:p>
        </w:tc>
      </w:tr>
      <w:tr w:rsidR="008D290B" w:rsidTr="00AB5C2F">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8D290B" w:rsidRDefault="008D290B" w:rsidP="00AB5C2F">
            <w:pPr>
              <w:keepNext/>
              <w:keepLines/>
              <w:rPr>
                <w:color w:val="000000"/>
                <w:sz w:val="20"/>
                <w:szCs w:val="20"/>
              </w:rPr>
            </w:pPr>
            <w:r>
              <w:rPr>
                <w:color w:val="000000"/>
                <w:sz w:val="20"/>
                <w:szCs w:val="20"/>
              </w:rPr>
              <w:t>City A</w:t>
            </w:r>
          </w:p>
        </w:tc>
        <w:tc>
          <w:tcPr>
            <w:tcW w:w="900"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000000"/>
                <w:sz w:val="20"/>
                <w:szCs w:val="20"/>
              </w:rPr>
            </w:pPr>
            <w:r w:rsidRPr="003020F7">
              <w:rPr>
                <w:color w:val="000000"/>
                <w:sz w:val="20"/>
                <w:szCs w:val="20"/>
              </w:rPr>
              <w:t>120,000</w:t>
            </w:r>
          </w:p>
        </w:tc>
        <w:tc>
          <w:tcPr>
            <w:tcW w:w="888"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000000"/>
                <w:sz w:val="20"/>
                <w:szCs w:val="20"/>
              </w:rPr>
            </w:pPr>
            <w:r w:rsidRPr="003020F7">
              <w:rPr>
                <w:color w:val="000000"/>
                <w:sz w:val="20"/>
                <w:szCs w:val="20"/>
              </w:rPr>
              <w:t>125,000</w:t>
            </w:r>
          </w:p>
        </w:tc>
        <w:tc>
          <w:tcPr>
            <w:tcW w:w="1016"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000000"/>
                <w:sz w:val="20"/>
                <w:szCs w:val="20"/>
              </w:rPr>
            </w:pPr>
            <w:r w:rsidRPr="003020F7">
              <w:rPr>
                <w:color w:val="000000"/>
                <w:sz w:val="20"/>
                <w:szCs w:val="20"/>
              </w:rPr>
              <w:t>126,000</w:t>
            </w:r>
          </w:p>
        </w:tc>
        <w:tc>
          <w:tcPr>
            <w:tcW w:w="1016"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000000"/>
                <w:sz w:val="20"/>
                <w:szCs w:val="20"/>
              </w:rPr>
            </w:pPr>
            <w:r w:rsidRPr="003020F7">
              <w:rPr>
                <w:color w:val="000000"/>
                <w:sz w:val="20"/>
                <w:szCs w:val="20"/>
              </w:rPr>
              <w:t>128,000</w:t>
            </w:r>
          </w:p>
        </w:tc>
        <w:tc>
          <w:tcPr>
            <w:tcW w:w="1016"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000000"/>
                <w:sz w:val="20"/>
                <w:szCs w:val="20"/>
              </w:rPr>
            </w:pPr>
            <w:r w:rsidRPr="003020F7">
              <w:rPr>
                <w:color w:val="000000"/>
                <w:sz w:val="20"/>
                <w:szCs w:val="20"/>
              </w:rPr>
              <w:t>130,000</w:t>
            </w:r>
          </w:p>
        </w:tc>
        <w:tc>
          <w:tcPr>
            <w:tcW w:w="1016"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FF0000"/>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FF0000"/>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FF0000"/>
                <w:sz w:val="20"/>
                <w:szCs w:val="20"/>
              </w:rPr>
            </w:pPr>
          </w:p>
        </w:tc>
        <w:tc>
          <w:tcPr>
            <w:tcW w:w="1020" w:type="dxa"/>
            <w:tcBorders>
              <w:top w:val="nil"/>
              <w:left w:val="nil"/>
              <w:bottom w:val="single" w:sz="4" w:space="0" w:color="auto"/>
              <w:right w:val="single" w:sz="4" w:space="0" w:color="auto"/>
            </w:tcBorders>
            <w:shd w:val="clear" w:color="auto" w:fill="auto"/>
            <w:noWrap/>
            <w:vAlign w:val="bottom"/>
            <w:hideMark/>
          </w:tcPr>
          <w:p w:rsidR="008D290B" w:rsidRPr="00D662FD" w:rsidRDefault="008D290B" w:rsidP="00AB5C2F">
            <w:pPr>
              <w:keepNext/>
              <w:keepLines/>
              <w:spacing w:line="276" w:lineRule="auto"/>
              <w:jc w:val="center"/>
              <w:rPr>
                <w:color w:val="000000"/>
                <w:sz w:val="20"/>
                <w:szCs w:val="20"/>
              </w:rPr>
            </w:pPr>
            <w:r w:rsidRPr="00D662FD">
              <w:rPr>
                <w:color w:val="000000"/>
                <w:sz w:val="20"/>
                <w:szCs w:val="20"/>
              </w:rPr>
              <w:t>135,000</w:t>
            </w:r>
          </w:p>
        </w:tc>
      </w:tr>
      <w:tr w:rsidR="008D290B" w:rsidTr="00AB5C2F">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8D290B" w:rsidRDefault="008D290B" w:rsidP="00AB5C2F">
            <w:pPr>
              <w:keepNext/>
              <w:keepLines/>
              <w:rPr>
                <w:color w:val="000000"/>
                <w:sz w:val="20"/>
                <w:szCs w:val="20"/>
              </w:rPr>
            </w:pPr>
            <w:r>
              <w:rPr>
                <w:color w:val="000000"/>
                <w:sz w:val="20"/>
                <w:szCs w:val="20"/>
              </w:rPr>
              <w:t>City B</w:t>
            </w:r>
          </w:p>
        </w:tc>
        <w:tc>
          <w:tcPr>
            <w:tcW w:w="900"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FF0000"/>
                <w:sz w:val="20"/>
                <w:szCs w:val="20"/>
              </w:rPr>
            </w:pPr>
          </w:p>
        </w:tc>
        <w:tc>
          <w:tcPr>
            <w:tcW w:w="888"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000000"/>
                <w:sz w:val="20"/>
                <w:szCs w:val="20"/>
              </w:rPr>
            </w:pPr>
            <w:r w:rsidRPr="003020F7">
              <w:rPr>
                <w:color w:val="000000"/>
                <w:sz w:val="20"/>
                <w:szCs w:val="20"/>
              </w:rPr>
              <w:t>210,000</w:t>
            </w:r>
          </w:p>
        </w:tc>
        <w:tc>
          <w:tcPr>
            <w:tcW w:w="1016"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000000"/>
                <w:sz w:val="20"/>
                <w:szCs w:val="20"/>
              </w:rPr>
            </w:pPr>
            <w:r w:rsidRPr="003020F7">
              <w:rPr>
                <w:color w:val="000000"/>
                <w:sz w:val="20"/>
                <w:szCs w:val="20"/>
              </w:rPr>
              <w:t>215,000</w:t>
            </w:r>
          </w:p>
        </w:tc>
        <w:tc>
          <w:tcPr>
            <w:tcW w:w="1016"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FF0000"/>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FF0000"/>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000000"/>
                <w:sz w:val="20"/>
                <w:szCs w:val="20"/>
              </w:rPr>
            </w:pPr>
            <w:r w:rsidRPr="003020F7">
              <w:rPr>
                <w:color w:val="000000"/>
                <w:sz w:val="20"/>
                <w:szCs w:val="20"/>
              </w:rPr>
              <w:t>220,000</w:t>
            </w:r>
          </w:p>
        </w:tc>
        <w:tc>
          <w:tcPr>
            <w:tcW w:w="1016"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000000"/>
                <w:sz w:val="20"/>
                <w:szCs w:val="20"/>
              </w:rPr>
            </w:pPr>
            <w:r w:rsidRPr="003020F7">
              <w:rPr>
                <w:color w:val="000000"/>
                <w:sz w:val="20"/>
                <w:szCs w:val="20"/>
              </w:rPr>
              <w:t>225,000</w:t>
            </w:r>
          </w:p>
        </w:tc>
        <w:tc>
          <w:tcPr>
            <w:tcW w:w="1016"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000000"/>
                <w:sz w:val="20"/>
                <w:szCs w:val="20"/>
              </w:rPr>
            </w:pPr>
            <w:r w:rsidRPr="003020F7">
              <w:rPr>
                <w:color w:val="000000"/>
                <w:sz w:val="20"/>
                <w:szCs w:val="20"/>
              </w:rPr>
              <w:t>225,000</w:t>
            </w:r>
          </w:p>
        </w:tc>
        <w:tc>
          <w:tcPr>
            <w:tcW w:w="1020" w:type="dxa"/>
            <w:tcBorders>
              <w:top w:val="nil"/>
              <w:left w:val="nil"/>
              <w:bottom w:val="single" w:sz="4" w:space="0" w:color="auto"/>
              <w:right w:val="single" w:sz="4" w:space="0" w:color="auto"/>
            </w:tcBorders>
            <w:shd w:val="clear" w:color="auto" w:fill="auto"/>
            <w:noWrap/>
            <w:vAlign w:val="bottom"/>
            <w:hideMark/>
          </w:tcPr>
          <w:p w:rsidR="008D290B" w:rsidRPr="00D662FD" w:rsidRDefault="008D290B" w:rsidP="00AB5C2F">
            <w:pPr>
              <w:keepNext/>
              <w:keepLines/>
              <w:spacing w:line="276" w:lineRule="auto"/>
              <w:jc w:val="center"/>
              <w:rPr>
                <w:color w:val="000000"/>
                <w:sz w:val="20"/>
                <w:szCs w:val="20"/>
              </w:rPr>
            </w:pPr>
          </w:p>
        </w:tc>
      </w:tr>
      <w:tr w:rsidR="008D290B" w:rsidTr="00AB5C2F">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8D290B" w:rsidRDefault="008D290B" w:rsidP="00AB5C2F">
            <w:pPr>
              <w:keepNext/>
              <w:keepLines/>
              <w:rPr>
                <w:color w:val="000000"/>
                <w:sz w:val="20"/>
                <w:szCs w:val="20"/>
              </w:rPr>
            </w:pPr>
            <w:r>
              <w:rPr>
                <w:color w:val="000000"/>
                <w:sz w:val="20"/>
                <w:szCs w:val="20"/>
              </w:rPr>
              <w:t>City C</w:t>
            </w:r>
          </w:p>
        </w:tc>
        <w:tc>
          <w:tcPr>
            <w:tcW w:w="900"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000000"/>
                <w:sz w:val="20"/>
                <w:szCs w:val="20"/>
              </w:rPr>
            </w:pPr>
            <w:r w:rsidRPr="003020F7">
              <w:rPr>
                <w:color w:val="000000"/>
                <w:sz w:val="20"/>
                <w:szCs w:val="20"/>
              </w:rPr>
              <w:t>60,000</w:t>
            </w:r>
          </w:p>
        </w:tc>
        <w:tc>
          <w:tcPr>
            <w:tcW w:w="888"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000000"/>
                <w:sz w:val="20"/>
                <w:szCs w:val="20"/>
              </w:rPr>
            </w:pPr>
            <w:r w:rsidRPr="003020F7">
              <w:rPr>
                <w:color w:val="000000"/>
                <w:sz w:val="20"/>
                <w:szCs w:val="20"/>
              </w:rPr>
              <w:t>65,000</w:t>
            </w:r>
          </w:p>
        </w:tc>
        <w:tc>
          <w:tcPr>
            <w:tcW w:w="1016"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FF0000"/>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FF0000"/>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000000"/>
                <w:sz w:val="20"/>
                <w:szCs w:val="20"/>
              </w:rPr>
            </w:pPr>
            <w:r w:rsidRPr="003020F7">
              <w:rPr>
                <w:color w:val="000000"/>
                <w:sz w:val="20"/>
                <w:szCs w:val="20"/>
              </w:rPr>
              <w:t>75,000</w:t>
            </w:r>
          </w:p>
        </w:tc>
        <w:tc>
          <w:tcPr>
            <w:tcW w:w="1016"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000000"/>
                <w:sz w:val="20"/>
                <w:szCs w:val="20"/>
              </w:rPr>
            </w:pPr>
            <w:r w:rsidRPr="003020F7">
              <w:rPr>
                <w:color w:val="000000"/>
                <w:sz w:val="20"/>
                <w:szCs w:val="20"/>
              </w:rPr>
              <w:t>77,000</w:t>
            </w:r>
          </w:p>
        </w:tc>
        <w:tc>
          <w:tcPr>
            <w:tcW w:w="1016"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FF0000"/>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sz w:val="20"/>
                <w:szCs w:val="20"/>
              </w:rPr>
            </w:pPr>
            <w:r w:rsidRPr="003020F7">
              <w:rPr>
                <w:sz w:val="20"/>
                <w:szCs w:val="20"/>
              </w:rPr>
              <w:t>80,000</w:t>
            </w:r>
          </w:p>
        </w:tc>
        <w:tc>
          <w:tcPr>
            <w:tcW w:w="1020" w:type="dxa"/>
            <w:tcBorders>
              <w:top w:val="nil"/>
              <w:left w:val="nil"/>
              <w:bottom w:val="single" w:sz="4" w:space="0" w:color="auto"/>
              <w:right w:val="single" w:sz="4" w:space="0" w:color="auto"/>
            </w:tcBorders>
            <w:shd w:val="clear" w:color="auto" w:fill="auto"/>
            <w:noWrap/>
            <w:vAlign w:val="bottom"/>
            <w:hideMark/>
          </w:tcPr>
          <w:p w:rsidR="008D290B" w:rsidRPr="00D662FD" w:rsidRDefault="008D290B" w:rsidP="00AB5C2F">
            <w:pPr>
              <w:keepNext/>
              <w:keepLines/>
              <w:spacing w:line="276" w:lineRule="auto"/>
              <w:jc w:val="center"/>
              <w:rPr>
                <w:color w:val="000000"/>
                <w:sz w:val="20"/>
                <w:szCs w:val="20"/>
              </w:rPr>
            </w:pPr>
          </w:p>
        </w:tc>
      </w:tr>
      <w:tr w:rsidR="008D290B" w:rsidTr="00AB5C2F">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8D290B" w:rsidRDefault="008D290B" w:rsidP="00AB5C2F">
            <w:pPr>
              <w:keepNext/>
              <w:keepLines/>
              <w:rPr>
                <w:color w:val="000000"/>
                <w:sz w:val="20"/>
                <w:szCs w:val="20"/>
              </w:rPr>
            </w:pPr>
            <w:r>
              <w:rPr>
                <w:color w:val="000000"/>
                <w:sz w:val="20"/>
                <w:szCs w:val="20"/>
              </w:rPr>
              <w:t>City D</w:t>
            </w:r>
          </w:p>
        </w:tc>
        <w:tc>
          <w:tcPr>
            <w:tcW w:w="900"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000000"/>
                <w:sz w:val="20"/>
                <w:szCs w:val="20"/>
              </w:rPr>
            </w:pPr>
            <w:r w:rsidRPr="003020F7">
              <w:rPr>
                <w:color w:val="000000"/>
                <w:sz w:val="20"/>
                <w:szCs w:val="20"/>
              </w:rPr>
              <w:t>150,000</w:t>
            </w:r>
          </w:p>
        </w:tc>
        <w:tc>
          <w:tcPr>
            <w:tcW w:w="888"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FF0000"/>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FF0000"/>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000000"/>
                <w:sz w:val="20"/>
                <w:szCs w:val="20"/>
              </w:rPr>
            </w:pPr>
            <w:r w:rsidRPr="003020F7">
              <w:rPr>
                <w:color w:val="000000"/>
                <w:sz w:val="20"/>
                <w:szCs w:val="20"/>
              </w:rPr>
              <w:t>170,000</w:t>
            </w:r>
          </w:p>
        </w:tc>
        <w:tc>
          <w:tcPr>
            <w:tcW w:w="1016"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000000"/>
                <w:sz w:val="20"/>
                <w:szCs w:val="20"/>
              </w:rPr>
            </w:pPr>
            <w:r w:rsidRPr="003020F7">
              <w:rPr>
                <w:color w:val="000000"/>
                <w:sz w:val="20"/>
                <w:szCs w:val="20"/>
              </w:rPr>
              <w:t>175,000</w:t>
            </w:r>
          </w:p>
        </w:tc>
        <w:tc>
          <w:tcPr>
            <w:tcW w:w="1016"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000000"/>
                <w:sz w:val="20"/>
                <w:szCs w:val="20"/>
              </w:rPr>
            </w:pPr>
            <w:r w:rsidRPr="003020F7">
              <w:rPr>
                <w:color w:val="000000"/>
                <w:sz w:val="20"/>
                <w:szCs w:val="20"/>
              </w:rPr>
              <w:t>177,000</w:t>
            </w:r>
          </w:p>
        </w:tc>
        <w:tc>
          <w:tcPr>
            <w:tcW w:w="1016"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000000"/>
                <w:sz w:val="20"/>
                <w:szCs w:val="20"/>
              </w:rPr>
            </w:pPr>
            <w:r w:rsidRPr="003020F7">
              <w:rPr>
                <w:color w:val="000000"/>
                <w:sz w:val="20"/>
                <w:szCs w:val="20"/>
              </w:rPr>
              <w:t>180,000</w:t>
            </w:r>
          </w:p>
        </w:tc>
        <w:tc>
          <w:tcPr>
            <w:tcW w:w="1016" w:type="dxa"/>
            <w:tcBorders>
              <w:top w:val="nil"/>
              <w:left w:val="nil"/>
              <w:bottom w:val="single" w:sz="4" w:space="0" w:color="auto"/>
              <w:right w:val="single" w:sz="4" w:space="0" w:color="auto"/>
            </w:tcBorders>
            <w:shd w:val="clear" w:color="auto" w:fill="auto"/>
            <w:vAlign w:val="center"/>
            <w:hideMark/>
          </w:tcPr>
          <w:p w:rsidR="008D290B" w:rsidRPr="003020F7" w:rsidRDefault="008D290B" w:rsidP="00AB5C2F">
            <w:pPr>
              <w:keepNext/>
              <w:keepLines/>
              <w:spacing w:line="276" w:lineRule="auto"/>
              <w:jc w:val="center"/>
              <w:rPr>
                <w:color w:val="000000"/>
                <w:sz w:val="20"/>
                <w:szCs w:val="20"/>
              </w:rPr>
            </w:pPr>
            <w:r w:rsidRPr="003020F7">
              <w:rPr>
                <w:color w:val="000000"/>
                <w:sz w:val="20"/>
                <w:szCs w:val="20"/>
              </w:rPr>
              <w:t>182,000</w:t>
            </w:r>
          </w:p>
        </w:tc>
        <w:tc>
          <w:tcPr>
            <w:tcW w:w="1020" w:type="dxa"/>
            <w:tcBorders>
              <w:top w:val="nil"/>
              <w:left w:val="nil"/>
              <w:bottom w:val="single" w:sz="4" w:space="0" w:color="auto"/>
              <w:right w:val="single" w:sz="4" w:space="0" w:color="auto"/>
            </w:tcBorders>
            <w:shd w:val="clear" w:color="auto" w:fill="auto"/>
            <w:noWrap/>
            <w:vAlign w:val="bottom"/>
            <w:hideMark/>
          </w:tcPr>
          <w:p w:rsidR="008D290B" w:rsidRPr="00D662FD" w:rsidRDefault="008D290B" w:rsidP="00AB5C2F">
            <w:pPr>
              <w:keepNext/>
              <w:keepLines/>
              <w:spacing w:line="276" w:lineRule="auto"/>
              <w:jc w:val="center"/>
              <w:rPr>
                <w:color w:val="000000"/>
                <w:sz w:val="20"/>
                <w:szCs w:val="20"/>
              </w:rPr>
            </w:pPr>
            <w:r w:rsidRPr="00D662FD">
              <w:rPr>
                <w:color w:val="000000"/>
                <w:sz w:val="20"/>
                <w:szCs w:val="20"/>
              </w:rPr>
              <w:t>185,000</w:t>
            </w:r>
          </w:p>
        </w:tc>
      </w:tr>
    </w:tbl>
    <w:p w:rsidR="008D290B" w:rsidRDefault="008D290B" w:rsidP="008D290B">
      <w:pPr>
        <w:pStyle w:val="Default"/>
        <w:keepNext/>
        <w:keepLines/>
        <w:spacing w:before="180" w:line="360" w:lineRule="auto"/>
        <w:rPr>
          <w:rFonts w:ascii="Times New Roman" w:hAnsi="Times New Roman" w:cs="Times New Roman"/>
          <w:b/>
          <w:bCs/>
          <w:sz w:val="22"/>
          <w:szCs w:val="22"/>
          <w:lang w:val="en-GB" w:eastAsia="en-GB"/>
        </w:rPr>
      </w:pPr>
      <w:r>
        <w:rPr>
          <w:rFonts w:ascii="Times New Roman" w:hAnsi="Times New Roman" w:cs="Times New Roman"/>
          <w:b/>
          <w:bCs/>
          <w:sz w:val="22"/>
          <w:szCs w:val="22"/>
          <w:lang w:val="en-GB" w:eastAsia="en-GB"/>
        </w:rPr>
        <w:t>`</w:t>
      </w:r>
    </w:p>
    <w:p w:rsidR="002529EF" w:rsidRDefault="002529EF" w:rsidP="002529EF">
      <w:pPr>
        <w:pStyle w:val="Default"/>
        <w:keepNext/>
        <w:keepLines/>
        <w:spacing w:before="180" w:line="360" w:lineRule="auto"/>
        <w:rPr>
          <w:rFonts w:ascii="Times New Roman" w:hAnsi="Times New Roman" w:cs="Times New Roman"/>
          <w:b/>
          <w:bCs/>
          <w:sz w:val="22"/>
          <w:szCs w:val="22"/>
          <w:lang w:val="en-GB" w:eastAsia="en-GB"/>
        </w:rPr>
      </w:pPr>
      <w:r w:rsidRPr="00573B48">
        <w:rPr>
          <w:rFonts w:ascii="Times New Roman" w:hAnsi="Times New Roman" w:cs="Times New Roman"/>
          <w:b/>
          <w:bCs/>
          <w:sz w:val="22"/>
          <w:szCs w:val="22"/>
          <w:lang w:val="en-GB" w:eastAsia="en-GB"/>
        </w:rPr>
        <w:t>Interpolation method* used for estimating population living in waste-water catchment areas in cities A, B, C, D</w:t>
      </w:r>
    </w:p>
    <w:tbl>
      <w:tblPr>
        <w:tblW w:w="9782" w:type="dxa"/>
        <w:tblInd w:w="113" w:type="dxa"/>
        <w:tblLayout w:type="fixed"/>
        <w:tblLook w:val="04A0"/>
      </w:tblPr>
      <w:tblGrid>
        <w:gridCol w:w="805"/>
        <w:gridCol w:w="920"/>
        <w:gridCol w:w="920"/>
        <w:gridCol w:w="920"/>
        <w:gridCol w:w="1087"/>
        <w:gridCol w:w="990"/>
        <w:gridCol w:w="990"/>
        <w:gridCol w:w="990"/>
        <w:gridCol w:w="1080"/>
        <w:gridCol w:w="1080"/>
      </w:tblGrid>
      <w:tr w:rsidR="00737B23" w:rsidTr="00091208">
        <w:trPr>
          <w:trHeight w:val="300"/>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B23" w:rsidRDefault="00737B23" w:rsidP="00737B23">
            <w:pPr>
              <w:keepNext/>
              <w:keepLines/>
              <w:rPr>
                <w:color w:val="000000"/>
                <w:sz w:val="20"/>
                <w:szCs w:val="20"/>
                <w:lang w:eastAsia="zh-CN"/>
              </w:rPr>
            </w:pPr>
            <w:r>
              <w:rPr>
                <w:color w:val="000000"/>
                <w:sz w:val="20"/>
                <w:szCs w:val="20"/>
              </w:rPr>
              <w:t> </w:t>
            </w:r>
          </w:p>
        </w:tc>
        <w:tc>
          <w:tcPr>
            <w:tcW w:w="920" w:type="dxa"/>
            <w:tcBorders>
              <w:top w:val="single" w:sz="4" w:space="0" w:color="auto"/>
              <w:left w:val="nil"/>
              <w:bottom w:val="single" w:sz="4" w:space="0" w:color="auto"/>
              <w:right w:val="single" w:sz="4" w:space="0" w:color="auto"/>
            </w:tcBorders>
            <w:shd w:val="clear" w:color="auto" w:fill="auto"/>
            <w:vAlign w:val="center"/>
          </w:tcPr>
          <w:p w:rsidR="00737B23" w:rsidRDefault="00737B23" w:rsidP="00737B23">
            <w:pPr>
              <w:keepNext/>
              <w:keepLines/>
              <w:jc w:val="right"/>
              <w:rPr>
                <w:color w:val="000000"/>
                <w:sz w:val="20"/>
                <w:szCs w:val="20"/>
              </w:rPr>
            </w:pPr>
            <w:r>
              <w:rPr>
                <w:color w:val="000000"/>
                <w:sz w:val="20"/>
                <w:szCs w:val="20"/>
              </w:rPr>
              <w:t>2014</w:t>
            </w:r>
          </w:p>
        </w:tc>
        <w:tc>
          <w:tcPr>
            <w:tcW w:w="920" w:type="dxa"/>
            <w:tcBorders>
              <w:top w:val="single" w:sz="4" w:space="0" w:color="auto"/>
              <w:left w:val="nil"/>
              <w:bottom w:val="single" w:sz="4" w:space="0" w:color="auto"/>
              <w:right w:val="single" w:sz="4" w:space="0" w:color="auto"/>
            </w:tcBorders>
            <w:shd w:val="clear" w:color="auto" w:fill="auto"/>
            <w:vAlign w:val="center"/>
          </w:tcPr>
          <w:p w:rsidR="00737B23" w:rsidRDefault="00737B23" w:rsidP="00737B23">
            <w:pPr>
              <w:keepNext/>
              <w:keepLines/>
              <w:jc w:val="right"/>
              <w:rPr>
                <w:color w:val="000000"/>
                <w:sz w:val="20"/>
                <w:szCs w:val="20"/>
              </w:rPr>
            </w:pPr>
            <w:r>
              <w:rPr>
                <w:color w:val="000000"/>
                <w:sz w:val="20"/>
                <w:szCs w:val="20"/>
              </w:rPr>
              <w:t>2015</w:t>
            </w:r>
          </w:p>
        </w:tc>
        <w:tc>
          <w:tcPr>
            <w:tcW w:w="920" w:type="dxa"/>
            <w:tcBorders>
              <w:top w:val="single" w:sz="4" w:space="0" w:color="auto"/>
              <w:left w:val="nil"/>
              <w:bottom w:val="single" w:sz="4" w:space="0" w:color="auto"/>
              <w:right w:val="single" w:sz="4" w:space="0" w:color="auto"/>
            </w:tcBorders>
            <w:shd w:val="clear" w:color="auto" w:fill="auto"/>
            <w:vAlign w:val="center"/>
          </w:tcPr>
          <w:p w:rsidR="00737B23" w:rsidRDefault="00737B23" w:rsidP="00737B23">
            <w:pPr>
              <w:keepNext/>
              <w:keepLines/>
              <w:jc w:val="right"/>
              <w:rPr>
                <w:color w:val="000000"/>
                <w:sz w:val="20"/>
                <w:szCs w:val="20"/>
              </w:rPr>
            </w:pPr>
            <w:r>
              <w:rPr>
                <w:color w:val="000000"/>
                <w:sz w:val="20"/>
                <w:szCs w:val="20"/>
              </w:rPr>
              <w:t>2017</w:t>
            </w:r>
          </w:p>
        </w:tc>
        <w:tc>
          <w:tcPr>
            <w:tcW w:w="1087" w:type="dxa"/>
            <w:tcBorders>
              <w:top w:val="single" w:sz="4" w:space="0" w:color="auto"/>
              <w:left w:val="nil"/>
              <w:bottom w:val="single" w:sz="4" w:space="0" w:color="auto"/>
              <w:right w:val="single" w:sz="4" w:space="0" w:color="auto"/>
            </w:tcBorders>
            <w:shd w:val="clear" w:color="auto" w:fill="auto"/>
            <w:vAlign w:val="center"/>
          </w:tcPr>
          <w:p w:rsidR="00737B23" w:rsidRDefault="00737B23" w:rsidP="00737B23">
            <w:pPr>
              <w:keepNext/>
              <w:keepLines/>
              <w:jc w:val="right"/>
              <w:rPr>
                <w:color w:val="000000"/>
                <w:sz w:val="20"/>
                <w:szCs w:val="20"/>
              </w:rPr>
            </w:pPr>
            <w:r>
              <w:rPr>
                <w:color w:val="000000"/>
                <w:sz w:val="20"/>
                <w:szCs w:val="20"/>
              </w:rPr>
              <w:t>2017</w:t>
            </w:r>
          </w:p>
        </w:tc>
        <w:tc>
          <w:tcPr>
            <w:tcW w:w="990" w:type="dxa"/>
            <w:tcBorders>
              <w:top w:val="single" w:sz="4" w:space="0" w:color="auto"/>
              <w:left w:val="nil"/>
              <w:bottom w:val="single" w:sz="4" w:space="0" w:color="auto"/>
              <w:right w:val="single" w:sz="4" w:space="0" w:color="auto"/>
            </w:tcBorders>
            <w:shd w:val="clear" w:color="auto" w:fill="auto"/>
            <w:vAlign w:val="center"/>
          </w:tcPr>
          <w:p w:rsidR="00737B23" w:rsidRDefault="00737B23" w:rsidP="00737B23">
            <w:pPr>
              <w:keepNext/>
              <w:keepLines/>
              <w:jc w:val="right"/>
              <w:rPr>
                <w:color w:val="000000"/>
                <w:sz w:val="20"/>
                <w:szCs w:val="20"/>
              </w:rPr>
            </w:pPr>
            <w:r>
              <w:rPr>
                <w:color w:val="000000"/>
                <w:sz w:val="20"/>
                <w:szCs w:val="20"/>
              </w:rPr>
              <w:t>2018</w:t>
            </w:r>
          </w:p>
        </w:tc>
        <w:tc>
          <w:tcPr>
            <w:tcW w:w="990" w:type="dxa"/>
            <w:tcBorders>
              <w:top w:val="single" w:sz="4" w:space="0" w:color="auto"/>
              <w:left w:val="nil"/>
              <w:bottom w:val="single" w:sz="4" w:space="0" w:color="auto"/>
              <w:right w:val="single" w:sz="4" w:space="0" w:color="auto"/>
            </w:tcBorders>
            <w:shd w:val="clear" w:color="auto" w:fill="auto"/>
            <w:vAlign w:val="center"/>
          </w:tcPr>
          <w:p w:rsidR="00737B23" w:rsidRDefault="00737B23" w:rsidP="00737B23">
            <w:pPr>
              <w:keepNext/>
              <w:keepLines/>
              <w:jc w:val="right"/>
              <w:rPr>
                <w:color w:val="000000"/>
                <w:sz w:val="20"/>
                <w:szCs w:val="20"/>
              </w:rPr>
            </w:pPr>
            <w:r>
              <w:rPr>
                <w:color w:val="000000"/>
                <w:sz w:val="20"/>
                <w:szCs w:val="20"/>
              </w:rPr>
              <w:t>2019</w:t>
            </w:r>
          </w:p>
        </w:tc>
        <w:tc>
          <w:tcPr>
            <w:tcW w:w="990" w:type="dxa"/>
            <w:tcBorders>
              <w:top w:val="single" w:sz="4" w:space="0" w:color="auto"/>
              <w:left w:val="nil"/>
              <w:bottom w:val="single" w:sz="4" w:space="0" w:color="auto"/>
              <w:right w:val="single" w:sz="4" w:space="0" w:color="auto"/>
            </w:tcBorders>
            <w:shd w:val="clear" w:color="auto" w:fill="auto"/>
            <w:vAlign w:val="center"/>
          </w:tcPr>
          <w:p w:rsidR="00737B23" w:rsidRDefault="00737B23" w:rsidP="00737B23">
            <w:pPr>
              <w:keepNext/>
              <w:keepLines/>
              <w:jc w:val="right"/>
              <w:rPr>
                <w:color w:val="000000"/>
                <w:sz w:val="20"/>
                <w:szCs w:val="20"/>
              </w:rPr>
            </w:pPr>
            <w:r>
              <w:rPr>
                <w:color w:val="000000"/>
                <w:sz w:val="20"/>
                <w:szCs w:val="20"/>
              </w:rPr>
              <w:t>2020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737B23" w:rsidRDefault="00737B23" w:rsidP="00737B23">
            <w:pPr>
              <w:keepNext/>
              <w:keepLines/>
              <w:jc w:val="right"/>
              <w:rPr>
                <w:color w:val="000000"/>
                <w:sz w:val="20"/>
                <w:szCs w:val="20"/>
              </w:rPr>
            </w:pPr>
            <w:r>
              <w:rPr>
                <w:color w:val="000000"/>
                <w:sz w:val="20"/>
                <w:szCs w:val="20"/>
              </w:rPr>
              <w:t>2021</w:t>
            </w:r>
          </w:p>
        </w:tc>
        <w:tc>
          <w:tcPr>
            <w:tcW w:w="1080" w:type="dxa"/>
            <w:tcBorders>
              <w:top w:val="single" w:sz="4" w:space="0" w:color="auto"/>
              <w:left w:val="nil"/>
              <w:bottom w:val="single" w:sz="4" w:space="0" w:color="auto"/>
              <w:right w:val="single" w:sz="4" w:space="0" w:color="auto"/>
            </w:tcBorders>
            <w:shd w:val="clear" w:color="auto" w:fill="auto"/>
            <w:vAlign w:val="center"/>
          </w:tcPr>
          <w:p w:rsidR="00737B23" w:rsidRDefault="00737B23" w:rsidP="00737B23">
            <w:pPr>
              <w:keepNext/>
              <w:keepLines/>
              <w:jc w:val="right"/>
              <w:rPr>
                <w:color w:val="000000"/>
                <w:sz w:val="20"/>
                <w:szCs w:val="20"/>
              </w:rPr>
            </w:pPr>
            <w:r>
              <w:rPr>
                <w:color w:val="000000"/>
                <w:sz w:val="20"/>
                <w:szCs w:val="20"/>
              </w:rPr>
              <w:t>2022</w:t>
            </w:r>
          </w:p>
        </w:tc>
      </w:tr>
      <w:tr w:rsidR="00737B23" w:rsidTr="00091208">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737B23" w:rsidRDefault="00737B23" w:rsidP="00737B23">
            <w:pPr>
              <w:keepNext/>
              <w:keepLines/>
              <w:rPr>
                <w:color w:val="000000"/>
                <w:sz w:val="20"/>
                <w:szCs w:val="20"/>
              </w:rPr>
            </w:pPr>
            <w:r>
              <w:rPr>
                <w:color w:val="000000"/>
                <w:sz w:val="20"/>
                <w:szCs w:val="20"/>
              </w:rPr>
              <w:t>City A</w:t>
            </w:r>
          </w:p>
        </w:tc>
        <w:tc>
          <w:tcPr>
            <w:tcW w:w="92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000000"/>
                <w:sz w:val="18"/>
                <w:szCs w:val="18"/>
              </w:rPr>
            </w:pPr>
            <w:r w:rsidRPr="008641DA">
              <w:rPr>
                <w:color w:val="000000"/>
                <w:sz w:val="18"/>
                <w:szCs w:val="18"/>
              </w:rPr>
              <w:t>120,000</w:t>
            </w:r>
          </w:p>
        </w:tc>
        <w:tc>
          <w:tcPr>
            <w:tcW w:w="92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000000"/>
                <w:sz w:val="18"/>
                <w:szCs w:val="18"/>
              </w:rPr>
            </w:pPr>
            <w:r w:rsidRPr="008641DA">
              <w:rPr>
                <w:color w:val="000000"/>
                <w:sz w:val="18"/>
                <w:szCs w:val="18"/>
              </w:rPr>
              <w:t>125,000</w:t>
            </w:r>
          </w:p>
        </w:tc>
        <w:tc>
          <w:tcPr>
            <w:tcW w:w="92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000000"/>
                <w:sz w:val="18"/>
                <w:szCs w:val="18"/>
              </w:rPr>
            </w:pPr>
            <w:r w:rsidRPr="008641DA">
              <w:rPr>
                <w:color w:val="000000"/>
                <w:sz w:val="18"/>
                <w:szCs w:val="18"/>
              </w:rPr>
              <w:t>126,000</w:t>
            </w:r>
          </w:p>
        </w:tc>
        <w:tc>
          <w:tcPr>
            <w:tcW w:w="1087"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000000"/>
                <w:sz w:val="18"/>
                <w:szCs w:val="18"/>
              </w:rPr>
            </w:pPr>
            <w:r w:rsidRPr="008641DA">
              <w:rPr>
                <w:color w:val="000000"/>
                <w:sz w:val="18"/>
                <w:szCs w:val="18"/>
              </w:rPr>
              <w:t>128,000</w:t>
            </w:r>
          </w:p>
        </w:tc>
        <w:tc>
          <w:tcPr>
            <w:tcW w:w="99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000000"/>
                <w:sz w:val="18"/>
                <w:szCs w:val="18"/>
              </w:rPr>
            </w:pPr>
            <w:r w:rsidRPr="008641DA">
              <w:rPr>
                <w:color w:val="000000"/>
                <w:sz w:val="18"/>
                <w:szCs w:val="18"/>
              </w:rPr>
              <w:t>130,000</w:t>
            </w:r>
          </w:p>
        </w:tc>
        <w:tc>
          <w:tcPr>
            <w:tcW w:w="99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FF0000"/>
                <w:sz w:val="18"/>
                <w:szCs w:val="18"/>
              </w:rPr>
            </w:pPr>
            <w:r w:rsidRPr="008641DA">
              <w:rPr>
                <w:color w:val="FF0000"/>
                <w:sz w:val="18"/>
                <w:szCs w:val="18"/>
              </w:rPr>
              <w:t>131,232</w:t>
            </w:r>
          </w:p>
        </w:tc>
        <w:tc>
          <w:tcPr>
            <w:tcW w:w="99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FF0000"/>
                <w:sz w:val="18"/>
                <w:szCs w:val="18"/>
              </w:rPr>
            </w:pPr>
            <w:r w:rsidRPr="008641DA">
              <w:rPr>
                <w:color w:val="FF0000"/>
                <w:sz w:val="18"/>
                <w:szCs w:val="18"/>
              </w:rPr>
              <w:t>132,476</w:t>
            </w:r>
          </w:p>
        </w:tc>
        <w:tc>
          <w:tcPr>
            <w:tcW w:w="108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FF0000"/>
                <w:sz w:val="18"/>
                <w:szCs w:val="18"/>
              </w:rPr>
            </w:pPr>
            <w:r w:rsidRPr="008641DA">
              <w:rPr>
                <w:color w:val="FF0000"/>
                <w:sz w:val="18"/>
                <w:szCs w:val="18"/>
              </w:rPr>
              <w:t>133,732</w:t>
            </w:r>
          </w:p>
        </w:tc>
        <w:tc>
          <w:tcPr>
            <w:tcW w:w="108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000000"/>
                <w:sz w:val="18"/>
                <w:szCs w:val="18"/>
              </w:rPr>
            </w:pPr>
            <w:r w:rsidRPr="008641DA">
              <w:rPr>
                <w:color w:val="000000"/>
                <w:sz w:val="18"/>
                <w:szCs w:val="18"/>
              </w:rPr>
              <w:t>135,000</w:t>
            </w:r>
          </w:p>
        </w:tc>
      </w:tr>
      <w:tr w:rsidR="00737B23" w:rsidTr="00091208">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737B23" w:rsidRDefault="00737B23" w:rsidP="00737B23">
            <w:pPr>
              <w:keepNext/>
              <w:keepLines/>
              <w:rPr>
                <w:color w:val="000000"/>
                <w:sz w:val="20"/>
                <w:szCs w:val="20"/>
              </w:rPr>
            </w:pPr>
            <w:r>
              <w:rPr>
                <w:color w:val="000000"/>
                <w:sz w:val="20"/>
                <w:szCs w:val="20"/>
              </w:rPr>
              <w:t>City B</w:t>
            </w:r>
          </w:p>
        </w:tc>
        <w:tc>
          <w:tcPr>
            <w:tcW w:w="92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FF0000"/>
                <w:sz w:val="18"/>
                <w:szCs w:val="18"/>
              </w:rPr>
            </w:pPr>
            <w:r w:rsidRPr="008641DA">
              <w:rPr>
                <w:color w:val="FF0000"/>
                <w:sz w:val="18"/>
                <w:szCs w:val="18"/>
              </w:rPr>
              <w:t>210,000</w:t>
            </w:r>
          </w:p>
        </w:tc>
        <w:tc>
          <w:tcPr>
            <w:tcW w:w="92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000000"/>
                <w:sz w:val="18"/>
                <w:szCs w:val="18"/>
              </w:rPr>
            </w:pPr>
            <w:r w:rsidRPr="008641DA">
              <w:rPr>
                <w:color w:val="000000"/>
                <w:sz w:val="18"/>
                <w:szCs w:val="18"/>
              </w:rPr>
              <w:t>210,000</w:t>
            </w:r>
          </w:p>
        </w:tc>
        <w:tc>
          <w:tcPr>
            <w:tcW w:w="92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000000"/>
                <w:sz w:val="18"/>
                <w:szCs w:val="18"/>
              </w:rPr>
            </w:pPr>
            <w:r w:rsidRPr="008641DA">
              <w:rPr>
                <w:color w:val="000000"/>
                <w:sz w:val="18"/>
                <w:szCs w:val="18"/>
              </w:rPr>
              <w:t>215,000</w:t>
            </w:r>
          </w:p>
        </w:tc>
        <w:tc>
          <w:tcPr>
            <w:tcW w:w="1087"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FF0000"/>
                <w:sz w:val="18"/>
                <w:szCs w:val="18"/>
              </w:rPr>
            </w:pPr>
            <w:r w:rsidRPr="008641DA">
              <w:rPr>
                <w:color w:val="FF0000"/>
                <w:sz w:val="18"/>
                <w:szCs w:val="18"/>
              </w:rPr>
              <w:t>216,654</w:t>
            </w:r>
          </w:p>
        </w:tc>
        <w:tc>
          <w:tcPr>
            <w:tcW w:w="99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FF0000"/>
                <w:sz w:val="18"/>
                <w:szCs w:val="18"/>
              </w:rPr>
            </w:pPr>
            <w:r w:rsidRPr="008641DA">
              <w:rPr>
                <w:color w:val="FF0000"/>
                <w:sz w:val="18"/>
                <w:szCs w:val="18"/>
              </w:rPr>
              <w:t>218,321</w:t>
            </w:r>
          </w:p>
        </w:tc>
        <w:tc>
          <w:tcPr>
            <w:tcW w:w="99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000000"/>
                <w:sz w:val="18"/>
                <w:szCs w:val="18"/>
              </w:rPr>
            </w:pPr>
            <w:r w:rsidRPr="008641DA">
              <w:rPr>
                <w:color w:val="000000"/>
                <w:sz w:val="18"/>
                <w:szCs w:val="18"/>
              </w:rPr>
              <w:t>220,000</w:t>
            </w:r>
          </w:p>
        </w:tc>
        <w:tc>
          <w:tcPr>
            <w:tcW w:w="99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000000"/>
                <w:sz w:val="18"/>
                <w:szCs w:val="18"/>
              </w:rPr>
            </w:pPr>
            <w:r w:rsidRPr="008641DA">
              <w:rPr>
                <w:color w:val="000000"/>
                <w:sz w:val="18"/>
                <w:szCs w:val="18"/>
              </w:rPr>
              <w:t>225,000</w:t>
            </w:r>
          </w:p>
        </w:tc>
        <w:tc>
          <w:tcPr>
            <w:tcW w:w="108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000000"/>
                <w:sz w:val="18"/>
                <w:szCs w:val="18"/>
              </w:rPr>
            </w:pPr>
            <w:r w:rsidRPr="008641DA">
              <w:rPr>
                <w:color w:val="000000"/>
                <w:sz w:val="18"/>
                <w:szCs w:val="18"/>
              </w:rPr>
              <w:t>225,000</w:t>
            </w:r>
          </w:p>
        </w:tc>
        <w:tc>
          <w:tcPr>
            <w:tcW w:w="1080" w:type="dxa"/>
            <w:tcBorders>
              <w:top w:val="nil"/>
              <w:left w:val="nil"/>
              <w:bottom w:val="single" w:sz="4" w:space="0" w:color="auto"/>
              <w:right w:val="single" w:sz="4" w:space="0" w:color="auto"/>
            </w:tcBorders>
            <w:shd w:val="clear" w:color="auto" w:fill="auto"/>
            <w:noWrap/>
            <w:vAlign w:val="bottom"/>
            <w:hideMark/>
          </w:tcPr>
          <w:p w:rsidR="00737B23" w:rsidRPr="008641DA" w:rsidRDefault="00737B23" w:rsidP="00737B23">
            <w:pPr>
              <w:keepNext/>
              <w:keepLines/>
              <w:jc w:val="right"/>
              <w:rPr>
                <w:rFonts w:ascii="Calibri" w:hAnsi="Calibri" w:cs="Calibri"/>
                <w:color w:val="FF0000"/>
                <w:sz w:val="18"/>
                <w:szCs w:val="18"/>
              </w:rPr>
            </w:pPr>
            <w:r w:rsidRPr="008641DA">
              <w:rPr>
                <w:rFonts w:ascii="Calibri" w:hAnsi="Calibri" w:cs="Calibri"/>
                <w:color w:val="FF0000"/>
                <w:sz w:val="18"/>
                <w:szCs w:val="18"/>
              </w:rPr>
              <w:t>225,000</w:t>
            </w:r>
          </w:p>
        </w:tc>
      </w:tr>
      <w:tr w:rsidR="00737B23" w:rsidTr="00091208">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737B23" w:rsidRDefault="00737B23" w:rsidP="00737B23">
            <w:pPr>
              <w:keepNext/>
              <w:keepLines/>
              <w:rPr>
                <w:color w:val="000000"/>
                <w:sz w:val="20"/>
                <w:szCs w:val="20"/>
              </w:rPr>
            </w:pPr>
            <w:r>
              <w:rPr>
                <w:color w:val="000000"/>
                <w:sz w:val="20"/>
                <w:szCs w:val="20"/>
              </w:rPr>
              <w:t>City C</w:t>
            </w:r>
          </w:p>
        </w:tc>
        <w:tc>
          <w:tcPr>
            <w:tcW w:w="92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000000"/>
                <w:sz w:val="18"/>
                <w:szCs w:val="18"/>
              </w:rPr>
            </w:pPr>
            <w:r w:rsidRPr="008641DA">
              <w:rPr>
                <w:color w:val="000000"/>
                <w:sz w:val="18"/>
                <w:szCs w:val="18"/>
              </w:rPr>
              <w:t>60,000</w:t>
            </w:r>
          </w:p>
        </w:tc>
        <w:tc>
          <w:tcPr>
            <w:tcW w:w="92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000000"/>
                <w:sz w:val="18"/>
                <w:szCs w:val="18"/>
              </w:rPr>
            </w:pPr>
            <w:r w:rsidRPr="008641DA">
              <w:rPr>
                <w:color w:val="000000"/>
                <w:sz w:val="18"/>
                <w:szCs w:val="18"/>
              </w:rPr>
              <w:t>65,000</w:t>
            </w:r>
          </w:p>
        </w:tc>
        <w:tc>
          <w:tcPr>
            <w:tcW w:w="92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FF0000"/>
                <w:sz w:val="18"/>
                <w:szCs w:val="18"/>
              </w:rPr>
            </w:pPr>
            <w:r w:rsidRPr="008641DA">
              <w:rPr>
                <w:color w:val="FF0000"/>
                <w:sz w:val="18"/>
                <w:szCs w:val="18"/>
              </w:rPr>
              <w:t>68,176</w:t>
            </w:r>
          </w:p>
        </w:tc>
        <w:tc>
          <w:tcPr>
            <w:tcW w:w="1087"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FF0000"/>
                <w:sz w:val="18"/>
                <w:szCs w:val="18"/>
              </w:rPr>
            </w:pPr>
            <w:r w:rsidRPr="008641DA">
              <w:rPr>
                <w:color w:val="FF0000"/>
                <w:sz w:val="18"/>
                <w:szCs w:val="18"/>
              </w:rPr>
              <w:t>71,506</w:t>
            </w:r>
          </w:p>
        </w:tc>
        <w:tc>
          <w:tcPr>
            <w:tcW w:w="99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000000"/>
                <w:sz w:val="18"/>
                <w:szCs w:val="18"/>
              </w:rPr>
            </w:pPr>
            <w:r w:rsidRPr="008641DA">
              <w:rPr>
                <w:color w:val="000000"/>
                <w:sz w:val="18"/>
                <w:szCs w:val="18"/>
              </w:rPr>
              <w:t>75,000</w:t>
            </w:r>
          </w:p>
        </w:tc>
        <w:tc>
          <w:tcPr>
            <w:tcW w:w="99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000000"/>
                <w:sz w:val="18"/>
                <w:szCs w:val="18"/>
              </w:rPr>
            </w:pPr>
            <w:r w:rsidRPr="008641DA">
              <w:rPr>
                <w:color w:val="000000"/>
                <w:sz w:val="18"/>
                <w:szCs w:val="18"/>
              </w:rPr>
              <w:t>77,000</w:t>
            </w:r>
          </w:p>
        </w:tc>
        <w:tc>
          <w:tcPr>
            <w:tcW w:w="99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FF0000"/>
                <w:sz w:val="18"/>
                <w:szCs w:val="18"/>
              </w:rPr>
            </w:pPr>
            <w:r w:rsidRPr="008641DA">
              <w:rPr>
                <w:color w:val="FF0000"/>
                <w:sz w:val="18"/>
                <w:szCs w:val="18"/>
              </w:rPr>
              <w:t>77,000</w:t>
            </w:r>
          </w:p>
        </w:tc>
        <w:tc>
          <w:tcPr>
            <w:tcW w:w="108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FF0000"/>
                <w:sz w:val="18"/>
                <w:szCs w:val="18"/>
              </w:rPr>
            </w:pPr>
            <w:r w:rsidRPr="008641DA">
              <w:rPr>
                <w:color w:val="FF0000"/>
                <w:sz w:val="18"/>
                <w:szCs w:val="18"/>
              </w:rPr>
              <w:t>77,000</w:t>
            </w:r>
          </w:p>
        </w:tc>
        <w:tc>
          <w:tcPr>
            <w:tcW w:w="1080" w:type="dxa"/>
            <w:tcBorders>
              <w:top w:val="nil"/>
              <w:left w:val="nil"/>
              <w:bottom w:val="single" w:sz="4" w:space="0" w:color="auto"/>
              <w:right w:val="single" w:sz="4" w:space="0" w:color="auto"/>
            </w:tcBorders>
            <w:shd w:val="clear" w:color="auto" w:fill="auto"/>
            <w:noWrap/>
            <w:vAlign w:val="bottom"/>
            <w:hideMark/>
          </w:tcPr>
          <w:p w:rsidR="00737B23" w:rsidRPr="008641DA" w:rsidRDefault="00737B23" w:rsidP="00737B23">
            <w:pPr>
              <w:keepNext/>
              <w:keepLines/>
              <w:jc w:val="right"/>
              <w:rPr>
                <w:rFonts w:ascii="Calibri" w:hAnsi="Calibri" w:cs="Calibri"/>
                <w:color w:val="FF0000"/>
                <w:sz w:val="18"/>
                <w:szCs w:val="18"/>
              </w:rPr>
            </w:pPr>
            <w:r w:rsidRPr="008641DA">
              <w:rPr>
                <w:rFonts w:ascii="Calibri" w:hAnsi="Calibri" w:cs="Calibri"/>
                <w:color w:val="FF0000"/>
                <w:sz w:val="18"/>
                <w:szCs w:val="18"/>
              </w:rPr>
              <w:t>77,000</w:t>
            </w:r>
          </w:p>
        </w:tc>
      </w:tr>
      <w:tr w:rsidR="00737B23" w:rsidTr="00091208">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737B23" w:rsidRDefault="00737B23" w:rsidP="00737B23">
            <w:pPr>
              <w:keepNext/>
              <w:keepLines/>
              <w:rPr>
                <w:color w:val="000000"/>
                <w:sz w:val="20"/>
                <w:szCs w:val="20"/>
              </w:rPr>
            </w:pPr>
            <w:r>
              <w:rPr>
                <w:color w:val="000000"/>
                <w:sz w:val="20"/>
                <w:szCs w:val="20"/>
              </w:rPr>
              <w:t>City D</w:t>
            </w:r>
          </w:p>
        </w:tc>
        <w:tc>
          <w:tcPr>
            <w:tcW w:w="92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000000"/>
                <w:sz w:val="18"/>
                <w:szCs w:val="18"/>
              </w:rPr>
            </w:pPr>
            <w:r w:rsidRPr="008641DA">
              <w:rPr>
                <w:color w:val="000000"/>
                <w:sz w:val="18"/>
                <w:szCs w:val="18"/>
              </w:rPr>
              <w:t>150,000</w:t>
            </w:r>
          </w:p>
        </w:tc>
        <w:tc>
          <w:tcPr>
            <w:tcW w:w="92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FF0000"/>
                <w:sz w:val="18"/>
                <w:szCs w:val="18"/>
              </w:rPr>
            </w:pPr>
            <w:r w:rsidRPr="008641DA">
              <w:rPr>
                <w:color w:val="FF0000"/>
                <w:sz w:val="18"/>
                <w:szCs w:val="18"/>
              </w:rPr>
              <w:t>156,391</w:t>
            </w:r>
          </w:p>
        </w:tc>
        <w:tc>
          <w:tcPr>
            <w:tcW w:w="92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FF0000"/>
                <w:sz w:val="18"/>
                <w:szCs w:val="18"/>
              </w:rPr>
            </w:pPr>
            <w:r w:rsidRPr="008641DA">
              <w:rPr>
                <w:color w:val="FF0000"/>
                <w:sz w:val="18"/>
                <w:szCs w:val="18"/>
              </w:rPr>
              <w:t>163,053</w:t>
            </w:r>
          </w:p>
        </w:tc>
        <w:tc>
          <w:tcPr>
            <w:tcW w:w="1087"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000000"/>
                <w:sz w:val="18"/>
                <w:szCs w:val="18"/>
              </w:rPr>
            </w:pPr>
            <w:r w:rsidRPr="008641DA">
              <w:rPr>
                <w:color w:val="000000"/>
                <w:sz w:val="18"/>
                <w:szCs w:val="18"/>
              </w:rPr>
              <w:t>170,000</w:t>
            </w:r>
          </w:p>
        </w:tc>
        <w:tc>
          <w:tcPr>
            <w:tcW w:w="99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000000"/>
                <w:sz w:val="18"/>
                <w:szCs w:val="18"/>
              </w:rPr>
            </w:pPr>
            <w:r w:rsidRPr="008641DA">
              <w:rPr>
                <w:color w:val="000000"/>
                <w:sz w:val="18"/>
                <w:szCs w:val="18"/>
              </w:rPr>
              <w:t>175,000</w:t>
            </w:r>
          </w:p>
        </w:tc>
        <w:tc>
          <w:tcPr>
            <w:tcW w:w="99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000000"/>
                <w:sz w:val="18"/>
                <w:szCs w:val="18"/>
              </w:rPr>
            </w:pPr>
            <w:r w:rsidRPr="008641DA">
              <w:rPr>
                <w:color w:val="000000"/>
                <w:sz w:val="18"/>
                <w:szCs w:val="18"/>
              </w:rPr>
              <w:t>177,000</w:t>
            </w:r>
          </w:p>
        </w:tc>
        <w:tc>
          <w:tcPr>
            <w:tcW w:w="99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000000"/>
                <w:sz w:val="18"/>
                <w:szCs w:val="18"/>
              </w:rPr>
            </w:pPr>
            <w:r w:rsidRPr="008641DA">
              <w:rPr>
                <w:color w:val="000000"/>
                <w:sz w:val="18"/>
                <w:szCs w:val="18"/>
              </w:rPr>
              <w:t>180,000</w:t>
            </w:r>
          </w:p>
        </w:tc>
        <w:tc>
          <w:tcPr>
            <w:tcW w:w="108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000000"/>
                <w:sz w:val="18"/>
                <w:szCs w:val="18"/>
              </w:rPr>
            </w:pPr>
            <w:r w:rsidRPr="008641DA">
              <w:rPr>
                <w:color w:val="000000"/>
                <w:sz w:val="18"/>
                <w:szCs w:val="18"/>
              </w:rPr>
              <w:t>182,000</w:t>
            </w:r>
          </w:p>
        </w:tc>
        <w:tc>
          <w:tcPr>
            <w:tcW w:w="1080" w:type="dxa"/>
            <w:tcBorders>
              <w:top w:val="nil"/>
              <w:left w:val="nil"/>
              <w:bottom w:val="single" w:sz="4" w:space="0" w:color="auto"/>
              <w:right w:val="single" w:sz="4" w:space="0" w:color="auto"/>
            </w:tcBorders>
            <w:shd w:val="clear" w:color="auto" w:fill="auto"/>
            <w:vAlign w:val="center"/>
            <w:hideMark/>
          </w:tcPr>
          <w:p w:rsidR="00737B23" w:rsidRPr="008641DA" w:rsidRDefault="00737B23" w:rsidP="00737B23">
            <w:pPr>
              <w:keepNext/>
              <w:keepLines/>
              <w:jc w:val="right"/>
              <w:rPr>
                <w:color w:val="000000"/>
                <w:sz w:val="18"/>
                <w:szCs w:val="18"/>
              </w:rPr>
            </w:pPr>
            <w:r w:rsidRPr="008641DA">
              <w:rPr>
                <w:color w:val="000000"/>
                <w:sz w:val="18"/>
                <w:szCs w:val="18"/>
              </w:rPr>
              <w:t>185,000</w:t>
            </w:r>
          </w:p>
        </w:tc>
      </w:tr>
    </w:tbl>
    <w:p w:rsidR="008D290B" w:rsidRPr="0036585D" w:rsidRDefault="008D290B" w:rsidP="008D290B">
      <w:pPr>
        <w:pStyle w:val="Bullets"/>
        <w:keepNext/>
        <w:keepLines/>
        <w:numPr>
          <w:ilvl w:val="0"/>
          <w:numId w:val="0"/>
        </w:numPr>
        <w:ind w:left="454"/>
        <w:rPr>
          <w:rFonts w:ascii="Times New Roman" w:hAnsi="Times New Roman"/>
        </w:rPr>
      </w:pPr>
      <w:r w:rsidRPr="0036585D">
        <w:rPr>
          <w:rFonts w:ascii="Times New Roman" w:hAnsi="Times New Roman"/>
        </w:rPr>
        <w:t xml:space="preserve">*using Excel growth function for filling in data within a time series and assuming no change after latest year available </w:t>
      </w:r>
    </w:p>
    <w:p w:rsidR="002529EF" w:rsidRDefault="002529EF" w:rsidP="002529EF">
      <w:pPr>
        <w:pStyle w:val="Default"/>
        <w:spacing w:before="180" w:line="360" w:lineRule="auto"/>
        <w:rPr>
          <w:rFonts w:ascii="Times New Roman" w:hAnsi="Times New Roman" w:cs="Times New Roman"/>
          <w:lang w:val="en-GB" w:eastAsia="en-GB"/>
        </w:rPr>
      </w:pPr>
      <w:r w:rsidRPr="0092693B">
        <w:rPr>
          <w:rFonts w:ascii="Times New Roman" w:hAnsi="Times New Roman" w:cs="Times New Roman"/>
          <w:lang w:val="en-GB" w:eastAsia="en-GB"/>
        </w:rPr>
        <w:t xml:space="preserve">Based on these data </w:t>
      </w:r>
      <w:r w:rsidRPr="007B32B7">
        <w:rPr>
          <w:rFonts w:ascii="Times New Roman" w:hAnsi="Times New Roman" w:cs="Times New Roman"/>
          <w:lang w:val="en-GB" w:eastAsia="en-GB"/>
        </w:rPr>
        <w:t>the population weight</w:t>
      </w:r>
      <w:r w:rsidRPr="0085745A">
        <w:rPr>
          <w:rFonts w:ascii="Times New Roman" w:hAnsi="Times New Roman" w:cs="Times New Roman"/>
          <w:lang w:val="en-GB" w:eastAsia="en-GB"/>
        </w:rPr>
        <w:t xml:space="preserve">ed averages </w:t>
      </w:r>
      <w:r>
        <w:rPr>
          <w:rFonts w:ascii="Times New Roman" w:hAnsi="Times New Roman" w:cs="Times New Roman"/>
          <w:lang w:val="en-GB" w:eastAsia="en-GB"/>
        </w:rPr>
        <w:t xml:space="preserve">can be </w:t>
      </w:r>
      <w:r w:rsidRPr="0085745A">
        <w:rPr>
          <w:rFonts w:ascii="Times New Roman" w:hAnsi="Times New Roman" w:cs="Times New Roman"/>
          <w:lang w:val="en-GB" w:eastAsia="en-GB"/>
        </w:rPr>
        <w:t>calculated</w:t>
      </w:r>
      <w:r w:rsidRPr="002E1D6F">
        <w:rPr>
          <w:rFonts w:ascii="Times New Roman" w:hAnsi="Times New Roman" w:cs="Times New Roman"/>
          <w:lang w:val="en-GB" w:eastAsia="en-GB"/>
        </w:rPr>
        <w:t xml:space="preserve"> for the four cities. </w:t>
      </w:r>
      <w:r w:rsidRPr="0036585D">
        <w:rPr>
          <w:rFonts w:ascii="Times New Roman" w:hAnsi="Times New Roman" w:cs="Times New Roman"/>
          <w:lang w:val="en-GB" w:eastAsia="en-GB"/>
        </w:rPr>
        <w:t xml:space="preserve">(i.e. for </w:t>
      </w:r>
      <w:r w:rsidR="00E15812">
        <w:rPr>
          <w:rFonts w:ascii="Times New Roman" w:hAnsi="Times New Roman" w:cs="Times New Roman"/>
          <w:lang w:val="en-GB" w:eastAsia="en-GB"/>
        </w:rPr>
        <w:t>2022</w:t>
      </w:r>
      <w:r>
        <w:rPr>
          <w:rFonts w:ascii="Times New Roman" w:hAnsi="Times New Roman" w:cs="Times New Roman"/>
          <w:lang w:val="en-GB" w:eastAsia="en-GB"/>
        </w:rPr>
        <w:t xml:space="preserve">: (100*135,000+102*225000+180*77,000+135*185,000) / sum (135,000, 225,000, 77,000, 185,000) = 121). </w:t>
      </w:r>
    </w:p>
    <w:p w:rsidR="002529EF" w:rsidRDefault="002529EF" w:rsidP="002529EF">
      <w:pPr>
        <w:pStyle w:val="Default"/>
        <w:spacing w:before="180" w:line="360" w:lineRule="auto"/>
        <w:rPr>
          <w:rFonts w:ascii="Times New Roman" w:hAnsi="Times New Roman" w:cs="Times New Roman"/>
          <w:lang w:val="en-GB" w:eastAsia="en-GB"/>
        </w:rPr>
      </w:pPr>
      <w:r w:rsidRPr="002E1D6F">
        <w:rPr>
          <w:rFonts w:ascii="Times New Roman" w:hAnsi="Times New Roman" w:cs="Times New Roman"/>
          <w:lang w:val="en-GB" w:eastAsia="en-GB"/>
        </w:rPr>
        <w:t>The</w:t>
      </w:r>
      <w:r>
        <w:rPr>
          <w:rFonts w:ascii="Times New Roman" w:hAnsi="Times New Roman" w:cs="Times New Roman"/>
          <w:lang w:val="en-GB" w:eastAsia="en-GB"/>
        </w:rPr>
        <w:t xml:space="preserve"> actual </w:t>
      </w:r>
      <w:r w:rsidRPr="002E1D6F">
        <w:rPr>
          <w:rFonts w:ascii="Times New Roman" w:hAnsi="Times New Roman" w:cs="Times New Roman"/>
          <w:lang w:val="en-GB" w:eastAsia="en-GB"/>
        </w:rPr>
        <w:t xml:space="preserve">calculation was done in Excel, using for each year the </w:t>
      </w:r>
      <w:r>
        <w:rPr>
          <w:rFonts w:ascii="Times New Roman" w:hAnsi="Times New Roman" w:cs="Times New Roman"/>
          <w:lang w:val="en-GB" w:eastAsia="en-GB"/>
        </w:rPr>
        <w:t>“</w:t>
      </w:r>
      <w:r w:rsidRPr="002E1D6F">
        <w:rPr>
          <w:rFonts w:ascii="Times New Roman" w:hAnsi="Times New Roman" w:cs="Times New Roman"/>
          <w:lang w:val="en-GB" w:eastAsia="en-GB"/>
        </w:rPr>
        <w:t>sumproduct</w:t>
      </w:r>
      <w:r>
        <w:rPr>
          <w:rFonts w:ascii="Times New Roman" w:hAnsi="Times New Roman" w:cs="Times New Roman"/>
          <w:lang w:val="en-GB" w:eastAsia="en-GB"/>
        </w:rPr>
        <w:t xml:space="preserve">” </w:t>
      </w:r>
      <w:r w:rsidRPr="0036585D">
        <w:rPr>
          <w:rFonts w:ascii="Times New Roman" w:hAnsi="Times New Roman" w:cs="Times New Roman"/>
          <w:lang w:val="en-GB" w:eastAsia="en-GB"/>
        </w:rPr>
        <w:t>function for benzoylecgonine found in the four cities and the population in the four catchment areas; the resulting total was then divided by the total population in the four waste-water catchment areas in the respective year to arrive at the average</w:t>
      </w:r>
      <w:r>
        <w:rPr>
          <w:rFonts w:ascii="Times New Roman" w:hAnsi="Times New Roman" w:cs="Times New Roman"/>
          <w:lang w:val="en-GB" w:eastAsia="en-GB"/>
        </w:rPr>
        <w:t xml:space="preserve"> for the respective year.</w:t>
      </w:r>
    </w:p>
    <w:p w:rsidR="008D290B" w:rsidRDefault="002529EF" w:rsidP="008678DD">
      <w:pPr>
        <w:pStyle w:val="Default"/>
        <w:keepNext/>
        <w:keepLines/>
        <w:spacing w:before="180" w:line="360" w:lineRule="auto"/>
        <w:rPr>
          <w:rFonts w:ascii="Times New Roman" w:hAnsi="Times New Roman" w:cs="Times New Roman"/>
          <w:b/>
          <w:sz w:val="22"/>
          <w:szCs w:val="22"/>
        </w:rPr>
      </w:pPr>
      <w:r w:rsidRPr="00573B48">
        <w:rPr>
          <w:rFonts w:ascii="Times New Roman" w:hAnsi="Times New Roman" w:cs="Times New Roman"/>
          <w:b/>
          <w:sz w:val="22"/>
          <w:szCs w:val="22"/>
          <w:lang w:val="en-GB" w:eastAsia="en-GB"/>
        </w:rPr>
        <w:lastRenderedPageBreak/>
        <w:t xml:space="preserve">Calculation of average of benzoylecgonine </w:t>
      </w:r>
      <w:r w:rsidRPr="00573B48">
        <w:rPr>
          <w:rFonts w:ascii="Times New Roman" w:hAnsi="Times New Roman" w:cs="Times New Roman"/>
          <w:b/>
          <w:sz w:val="22"/>
          <w:szCs w:val="22"/>
        </w:rPr>
        <w:t>per 1000 inhabitants in four</w:t>
      </w:r>
      <w:r w:rsidR="003A66B4">
        <w:rPr>
          <w:rFonts w:ascii="Times New Roman" w:hAnsi="Times New Roman" w:cs="Times New Roman"/>
          <w:b/>
          <w:sz w:val="22"/>
          <w:szCs w:val="22"/>
        </w:rPr>
        <w:t xml:space="preserve"> hypothetical</w:t>
      </w:r>
      <w:r w:rsidRPr="00573B48">
        <w:rPr>
          <w:rFonts w:ascii="Times New Roman" w:hAnsi="Times New Roman" w:cs="Times New Roman"/>
          <w:b/>
          <w:sz w:val="22"/>
          <w:szCs w:val="22"/>
        </w:rPr>
        <w:t xml:space="preserve"> cities  </w:t>
      </w:r>
      <w:r w:rsidR="008D290B" w:rsidRPr="00573B48">
        <w:rPr>
          <w:rFonts w:ascii="Times New Roman" w:hAnsi="Times New Roman" w:cs="Times New Roman"/>
          <w:b/>
          <w:sz w:val="22"/>
          <w:szCs w:val="22"/>
        </w:rPr>
        <w:t xml:space="preserve">  </w:t>
      </w:r>
    </w:p>
    <w:tbl>
      <w:tblPr>
        <w:tblW w:w="8911" w:type="dxa"/>
        <w:tblInd w:w="113" w:type="dxa"/>
        <w:tblLayout w:type="fixed"/>
        <w:tblLook w:val="04A0"/>
      </w:tblPr>
      <w:tblGrid>
        <w:gridCol w:w="960"/>
        <w:gridCol w:w="883"/>
        <w:gridCol w:w="883"/>
        <w:gridCol w:w="884"/>
        <w:gridCol w:w="883"/>
        <w:gridCol w:w="884"/>
        <w:gridCol w:w="883"/>
        <w:gridCol w:w="884"/>
        <w:gridCol w:w="883"/>
        <w:gridCol w:w="884"/>
      </w:tblGrid>
      <w:tr w:rsidR="008678DD" w:rsidTr="00AB5C2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DD" w:rsidRDefault="008678DD" w:rsidP="008678DD">
            <w:pPr>
              <w:keepNext/>
              <w:keepLines/>
              <w:rPr>
                <w:b/>
                <w:bCs/>
                <w:color w:val="000000"/>
                <w:sz w:val="20"/>
                <w:szCs w:val="20"/>
                <w:lang w:eastAsia="zh-CN"/>
              </w:rPr>
            </w:pPr>
            <w:r>
              <w:rPr>
                <w:b/>
                <w:bCs/>
                <w:color w:val="000000"/>
                <w:sz w:val="20"/>
                <w:szCs w:val="20"/>
              </w:rPr>
              <w:t> </w:t>
            </w:r>
          </w:p>
        </w:tc>
        <w:tc>
          <w:tcPr>
            <w:tcW w:w="883" w:type="dxa"/>
            <w:tcBorders>
              <w:top w:val="single" w:sz="4" w:space="0" w:color="auto"/>
              <w:left w:val="nil"/>
              <w:bottom w:val="single" w:sz="4" w:space="0" w:color="auto"/>
              <w:right w:val="single" w:sz="4" w:space="0" w:color="auto"/>
            </w:tcBorders>
            <w:shd w:val="clear" w:color="auto" w:fill="auto"/>
            <w:hideMark/>
          </w:tcPr>
          <w:p w:rsidR="008678DD" w:rsidRDefault="008678DD" w:rsidP="008678DD">
            <w:pPr>
              <w:keepNext/>
              <w:keepLines/>
              <w:jc w:val="right"/>
              <w:rPr>
                <w:color w:val="000000"/>
                <w:sz w:val="20"/>
                <w:szCs w:val="20"/>
              </w:rPr>
            </w:pPr>
            <w:r w:rsidRPr="00CE6EC4">
              <w:rPr>
                <w:sz w:val="20"/>
                <w:szCs w:val="20"/>
              </w:rPr>
              <w:t>2014</w:t>
            </w:r>
          </w:p>
        </w:tc>
        <w:tc>
          <w:tcPr>
            <w:tcW w:w="883" w:type="dxa"/>
            <w:tcBorders>
              <w:top w:val="single" w:sz="4" w:space="0" w:color="auto"/>
              <w:left w:val="nil"/>
              <w:bottom w:val="single" w:sz="4" w:space="0" w:color="auto"/>
              <w:right w:val="single" w:sz="4" w:space="0" w:color="auto"/>
            </w:tcBorders>
            <w:shd w:val="clear" w:color="auto" w:fill="auto"/>
            <w:hideMark/>
          </w:tcPr>
          <w:p w:rsidR="008678DD" w:rsidRDefault="008678DD" w:rsidP="008678DD">
            <w:pPr>
              <w:keepNext/>
              <w:keepLines/>
              <w:jc w:val="right"/>
              <w:rPr>
                <w:color w:val="000000"/>
                <w:sz w:val="20"/>
                <w:szCs w:val="20"/>
              </w:rPr>
            </w:pPr>
            <w:r w:rsidRPr="00CE6EC4">
              <w:rPr>
                <w:sz w:val="20"/>
                <w:szCs w:val="20"/>
              </w:rPr>
              <w:t>2015</w:t>
            </w:r>
          </w:p>
        </w:tc>
        <w:tc>
          <w:tcPr>
            <w:tcW w:w="884" w:type="dxa"/>
            <w:tcBorders>
              <w:top w:val="single" w:sz="4" w:space="0" w:color="auto"/>
              <w:left w:val="nil"/>
              <w:bottom w:val="single" w:sz="4" w:space="0" w:color="auto"/>
              <w:right w:val="single" w:sz="4" w:space="0" w:color="auto"/>
            </w:tcBorders>
            <w:shd w:val="clear" w:color="auto" w:fill="auto"/>
            <w:hideMark/>
          </w:tcPr>
          <w:p w:rsidR="008678DD" w:rsidRDefault="008678DD" w:rsidP="008678DD">
            <w:pPr>
              <w:keepNext/>
              <w:keepLines/>
              <w:jc w:val="right"/>
              <w:rPr>
                <w:color w:val="000000"/>
                <w:sz w:val="20"/>
                <w:szCs w:val="20"/>
              </w:rPr>
            </w:pPr>
            <w:r w:rsidRPr="00CE6EC4">
              <w:rPr>
                <w:sz w:val="20"/>
                <w:szCs w:val="20"/>
              </w:rPr>
              <w:t>2017</w:t>
            </w:r>
          </w:p>
        </w:tc>
        <w:tc>
          <w:tcPr>
            <w:tcW w:w="883" w:type="dxa"/>
            <w:tcBorders>
              <w:top w:val="single" w:sz="4" w:space="0" w:color="auto"/>
              <w:left w:val="nil"/>
              <w:bottom w:val="single" w:sz="4" w:space="0" w:color="auto"/>
              <w:right w:val="single" w:sz="4" w:space="0" w:color="auto"/>
            </w:tcBorders>
            <w:shd w:val="clear" w:color="auto" w:fill="auto"/>
            <w:hideMark/>
          </w:tcPr>
          <w:p w:rsidR="008678DD" w:rsidRDefault="008678DD" w:rsidP="008678DD">
            <w:pPr>
              <w:keepNext/>
              <w:keepLines/>
              <w:jc w:val="right"/>
              <w:rPr>
                <w:color w:val="000000"/>
                <w:sz w:val="20"/>
                <w:szCs w:val="20"/>
              </w:rPr>
            </w:pPr>
            <w:r w:rsidRPr="00CE6EC4">
              <w:rPr>
                <w:sz w:val="20"/>
                <w:szCs w:val="20"/>
              </w:rPr>
              <w:t>2017</w:t>
            </w:r>
          </w:p>
        </w:tc>
        <w:tc>
          <w:tcPr>
            <w:tcW w:w="884" w:type="dxa"/>
            <w:tcBorders>
              <w:top w:val="single" w:sz="4" w:space="0" w:color="auto"/>
              <w:left w:val="nil"/>
              <w:bottom w:val="single" w:sz="4" w:space="0" w:color="auto"/>
              <w:right w:val="single" w:sz="4" w:space="0" w:color="auto"/>
            </w:tcBorders>
            <w:shd w:val="clear" w:color="auto" w:fill="auto"/>
            <w:hideMark/>
          </w:tcPr>
          <w:p w:rsidR="008678DD" w:rsidRDefault="008678DD" w:rsidP="008678DD">
            <w:pPr>
              <w:keepNext/>
              <w:keepLines/>
              <w:jc w:val="right"/>
              <w:rPr>
                <w:color w:val="000000"/>
                <w:sz w:val="20"/>
                <w:szCs w:val="20"/>
              </w:rPr>
            </w:pPr>
            <w:r w:rsidRPr="00CE6EC4">
              <w:rPr>
                <w:sz w:val="20"/>
                <w:szCs w:val="20"/>
              </w:rPr>
              <w:t>2018</w:t>
            </w:r>
          </w:p>
        </w:tc>
        <w:tc>
          <w:tcPr>
            <w:tcW w:w="883" w:type="dxa"/>
            <w:tcBorders>
              <w:top w:val="single" w:sz="4" w:space="0" w:color="auto"/>
              <w:left w:val="nil"/>
              <w:bottom w:val="single" w:sz="4" w:space="0" w:color="auto"/>
              <w:right w:val="single" w:sz="4" w:space="0" w:color="auto"/>
            </w:tcBorders>
            <w:shd w:val="clear" w:color="auto" w:fill="auto"/>
            <w:hideMark/>
          </w:tcPr>
          <w:p w:rsidR="008678DD" w:rsidRDefault="008678DD" w:rsidP="008678DD">
            <w:pPr>
              <w:keepNext/>
              <w:keepLines/>
              <w:jc w:val="right"/>
              <w:rPr>
                <w:color w:val="000000"/>
                <w:sz w:val="20"/>
                <w:szCs w:val="20"/>
              </w:rPr>
            </w:pPr>
            <w:r w:rsidRPr="00CE6EC4">
              <w:rPr>
                <w:sz w:val="20"/>
                <w:szCs w:val="20"/>
              </w:rPr>
              <w:t>2019</w:t>
            </w:r>
          </w:p>
        </w:tc>
        <w:tc>
          <w:tcPr>
            <w:tcW w:w="884" w:type="dxa"/>
            <w:tcBorders>
              <w:top w:val="single" w:sz="4" w:space="0" w:color="auto"/>
              <w:left w:val="nil"/>
              <w:bottom w:val="single" w:sz="4" w:space="0" w:color="auto"/>
              <w:right w:val="single" w:sz="4" w:space="0" w:color="auto"/>
            </w:tcBorders>
            <w:shd w:val="clear" w:color="auto" w:fill="auto"/>
            <w:hideMark/>
          </w:tcPr>
          <w:p w:rsidR="008678DD" w:rsidRDefault="008678DD" w:rsidP="008678DD">
            <w:pPr>
              <w:keepNext/>
              <w:keepLines/>
              <w:jc w:val="right"/>
              <w:rPr>
                <w:color w:val="000000"/>
                <w:sz w:val="20"/>
                <w:szCs w:val="20"/>
              </w:rPr>
            </w:pPr>
            <w:r w:rsidRPr="00CE6EC4">
              <w:rPr>
                <w:sz w:val="20"/>
                <w:szCs w:val="20"/>
              </w:rPr>
              <w:t>2020</w:t>
            </w:r>
          </w:p>
        </w:tc>
        <w:tc>
          <w:tcPr>
            <w:tcW w:w="883" w:type="dxa"/>
            <w:tcBorders>
              <w:top w:val="single" w:sz="4" w:space="0" w:color="auto"/>
              <w:left w:val="nil"/>
              <w:bottom w:val="single" w:sz="4" w:space="0" w:color="auto"/>
              <w:right w:val="single" w:sz="4" w:space="0" w:color="auto"/>
            </w:tcBorders>
            <w:shd w:val="clear" w:color="auto" w:fill="auto"/>
            <w:hideMark/>
          </w:tcPr>
          <w:p w:rsidR="008678DD" w:rsidRDefault="008678DD" w:rsidP="008678DD">
            <w:pPr>
              <w:keepNext/>
              <w:keepLines/>
              <w:jc w:val="right"/>
              <w:rPr>
                <w:color w:val="000000"/>
                <w:sz w:val="20"/>
                <w:szCs w:val="20"/>
              </w:rPr>
            </w:pPr>
            <w:r w:rsidRPr="00CE6EC4">
              <w:rPr>
                <w:sz w:val="20"/>
                <w:szCs w:val="20"/>
              </w:rPr>
              <w:t>2021</w:t>
            </w:r>
          </w:p>
        </w:tc>
        <w:tc>
          <w:tcPr>
            <w:tcW w:w="884" w:type="dxa"/>
            <w:tcBorders>
              <w:top w:val="single" w:sz="4" w:space="0" w:color="auto"/>
              <w:left w:val="nil"/>
              <w:bottom w:val="single" w:sz="4" w:space="0" w:color="auto"/>
              <w:right w:val="single" w:sz="4" w:space="0" w:color="auto"/>
            </w:tcBorders>
            <w:shd w:val="clear" w:color="auto" w:fill="auto"/>
            <w:hideMark/>
          </w:tcPr>
          <w:p w:rsidR="008678DD" w:rsidRDefault="008678DD" w:rsidP="008678DD">
            <w:pPr>
              <w:keepNext/>
              <w:keepLines/>
              <w:jc w:val="right"/>
              <w:rPr>
                <w:color w:val="000000"/>
                <w:sz w:val="20"/>
                <w:szCs w:val="20"/>
              </w:rPr>
            </w:pPr>
            <w:r w:rsidRPr="00CE6EC4">
              <w:rPr>
                <w:sz w:val="20"/>
                <w:szCs w:val="20"/>
              </w:rPr>
              <w:t>202</w:t>
            </w:r>
            <w:r>
              <w:rPr>
                <w:sz w:val="20"/>
                <w:szCs w:val="20"/>
              </w:rPr>
              <w:t>2</w:t>
            </w:r>
          </w:p>
        </w:tc>
      </w:tr>
      <w:tr w:rsidR="008678DD" w:rsidTr="00AB5C2F">
        <w:trPr>
          <w:trHeight w:val="765"/>
        </w:trPr>
        <w:tc>
          <w:tcPr>
            <w:tcW w:w="960" w:type="dxa"/>
            <w:tcBorders>
              <w:top w:val="nil"/>
              <w:left w:val="single" w:sz="4" w:space="0" w:color="auto"/>
              <w:bottom w:val="nil"/>
              <w:right w:val="single" w:sz="4" w:space="0" w:color="auto"/>
            </w:tcBorders>
            <w:shd w:val="clear" w:color="auto" w:fill="auto"/>
            <w:vAlign w:val="center"/>
            <w:hideMark/>
          </w:tcPr>
          <w:p w:rsidR="008678DD" w:rsidRDefault="008678DD" w:rsidP="008678DD">
            <w:pPr>
              <w:keepNext/>
              <w:keepLines/>
              <w:rPr>
                <w:b/>
                <w:bCs/>
                <w:color w:val="000000"/>
                <w:sz w:val="20"/>
                <w:szCs w:val="20"/>
              </w:rPr>
            </w:pPr>
            <w:r>
              <w:rPr>
                <w:b/>
                <w:bCs/>
                <w:color w:val="000000"/>
                <w:sz w:val="20"/>
                <w:szCs w:val="20"/>
              </w:rPr>
              <w:t>Average</w:t>
            </w:r>
            <w:r>
              <w:rPr>
                <w:color w:val="000000"/>
                <w:sz w:val="20"/>
                <w:szCs w:val="20"/>
              </w:rPr>
              <w:t xml:space="preserve"> for cities A, B, C, D</w:t>
            </w:r>
          </w:p>
        </w:tc>
        <w:tc>
          <w:tcPr>
            <w:tcW w:w="883" w:type="dxa"/>
            <w:tcBorders>
              <w:top w:val="nil"/>
              <w:left w:val="nil"/>
              <w:bottom w:val="nil"/>
              <w:right w:val="single" w:sz="4" w:space="0" w:color="auto"/>
            </w:tcBorders>
            <w:shd w:val="clear" w:color="auto" w:fill="auto"/>
            <w:noWrap/>
            <w:vAlign w:val="center"/>
            <w:hideMark/>
          </w:tcPr>
          <w:p w:rsidR="008678DD" w:rsidRDefault="008678DD" w:rsidP="008678DD">
            <w:pPr>
              <w:keepNext/>
              <w:keepLines/>
              <w:jc w:val="right"/>
              <w:rPr>
                <w:b/>
                <w:bCs/>
                <w:color w:val="000000"/>
                <w:sz w:val="20"/>
                <w:szCs w:val="20"/>
              </w:rPr>
            </w:pPr>
            <w:r>
              <w:rPr>
                <w:b/>
                <w:bCs/>
                <w:color w:val="000000"/>
                <w:sz w:val="20"/>
                <w:szCs w:val="20"/>
              </w:rPr>
              <w:t xml:space="preserve">              95 </w:t>
            </w:r>
          </w:p>
        </w:tc>
        <w:tc>
          <w:tcPr>
            <w:tcW w:w="883" w:type="dxa"/>
            <w:tcBorders>
              <w:top w:val="nil"/>
              <w:left w:val="nil"/>
              <w:bottom w:val="nil"/>
              <w:right w:val="single" w:sz="4" w:space="0" w:color="auto"/>
            </w:tcBorders>
            <w:shd w:val="clear" w:color="auto" w:fill="auto"/>
            <w:noWrap/>
            <w:vAlign w:val="center"/>
            <w:hideMark/>
          </w:tcPr>
          <w:p w:rsidR="008678DD" w:rsidRDefault="008678DD" w:rsidP="008678DD">
            <w:pPr>
              <w:keepNext/>
              <w:keepLines/>
              <w:jc w:val="right"/>
              <w:rPr>
                <w:b/>
                <w:bCs/>
                <w:color w:val="000000"/>
                <w:sz w:val="20"/>
                <w:szCs w:val="20"/>
              </w:rPr>
            </w:pPr>
            <w:r>
              <w:rPr>
                <w:b/>
                <w:bCs/>
                <w:color w:val="000000"/>
                <w:sz w:val="20"/>
                <w:szCs w:val="20"/>
              </w:rPr>
              <w:t xml:space="preserve">              93 </w:t>
            </w:r>
          </w:p>
        </w:tc>
        <w:tc>
          <w:tcPr>
            <w:tcW w:w="884" w:type="dxa"/>
            <w:tcBorders>
              <w:top w:val="nil"/>
              <w:left w:val="nil"/>
              <w:bottom w:val="nil"/>
              <w:right w:val="single" w:sz="4" w:space="0" w:color="auto"/>
            </w:tcBorders>
            <w:shd w:val="clear" w:color="auto" w:fill="auto"/>
            <w:noWrap/>
            <w:vAlign w:val="center"/>
            <w:hideMark/>
          </w:tcPr>
          <w:p w:rsidR="008678DD" w:rsidRDefault="008678DD" w:rsidP="008678DD">
            <w:pPr>
              <w:keepNext/>
              <w:keepLines/>
              <w:jc w:val="right"/>
              <w:rPr>
                <w:b/>
                <w:bCs/>
                <w:color w:val="000000"/>
                <w:sz w:val="20"/>
                <w:szCs w:val="20"/>
              </w:rPr>
            </w:pPr>
            <w:r>
              <w:rPr>
                <w:b/>
                <w:bCs/>
                <w:color w:val="000000"/>
                <w:sz w:val="20"/>
                <w:szCs w:val="20"/>
              </w:rPr>
              <w:t xml:space="preserve">              93 </w:t>
            </w:r>
          </w:p>
        </w:tc>
        <w:tc>
          <w:tcPr>
            <w:tcW w:w="883" w:type="dxa"/>
            <w:tcBorders>
              <w:top w:val="nil"/>
              <w:left w:val="nil"/>
              <w:bottom w:val="nil"/>
              <w:right w:val="single" w:sz="4" w:space="0" w:color="auto"/>
            </w:tcBorders>
            <w:shd w:val="clear" w:color="auto" w:fill="auto"/>
            <w:noWrap/>
            <w:vAlign w:val="center"/>
            <w:hideMark/>
          </w:tcPr>
          <w:p w:rsidR="008678DD" w:rsidRDefault="008678DD" w:rsidP="008678DD">
            <w:pPr>
              <w:keepNext/>
              <w:keepLines/>
              <w:jc w:val="right"/>
              <w:rPr>
                <w:b/>
                <w:bCs/>
                <w:color w:val="000000"/>
                <w:sz w:val="20"/>
                <w:szCs w:val="20"/>
              </w:rPr>
            </w:pPr>
            <w:r>
              <w:rPr>
                <w:b/>
                <w:bCs/>
                <w:color w:val="000000"/>
                <w:sz w:val="20"/>
                <w:szCs w:val="20"/>
              </w:rPr>
              <w:t xml:space="preserve">              96 </w:t>
            </w:r>
          </w:p>
        </w:tc>
        <w:tc>
          <w:tcPr>
            <w:tcW w:w="884" w:type="dxa"/>
            <w:tcBorders>
              <w:top w:val="nil"/>
              <w:left w:val="nil"/>
              <w:bottom w:val="nil"/>
              <w:right w:val="single" w:sz="4" w:space="0" w:color="auto"/>
            </w:tcBorders>
            <w:shd w:val="clear" w:color="auto" w:fill="auto"/>
            <w:noWrap/>
            <w:vAlign w:val="center"/>
            <w:hideMark/>
          </w:tcPr>
          <w:p w:rsidR="008678DD" w:rsidRDefault="008678DD" w:rsidP="008678DD">
            <w:pPr>
              <w:keepNext/>
              <w:keepLines/>
              <w:jc w:val="right"/>
              <w:rPr>
                <w:b/>
                <w:bCs/>
                <w:color w:val="000000"/>
                <w:sz w:val="20"/>
                <w:szCs w:val="20"/>
              </w:rPr>
            </w:pPr>
            <w:r>
              <w:rPr>
                <w:b/>
                <w:bCs/>
                <w:color w:val="000000"/>
                <w:sz w:val="20"/>
                <w:szCs w:val="20"/>
              </w:rPr>
              <w:t xml:space="preserve">           105 </w:t>
            </w:r>
          </w:p>
        </w:tc>
        <w:tc>
          <w:tcPr>
            <w:tcW w:w="883" w:type="dxa"/>
            <w:tcBorders>
              <w:top w:val="nil"/>
              <w:left w:val="nil"/>
              <w:bottom w:val="nil"/>
              <w:right w:val="single" w:sz="4" w:space="0" w:color="auto"/>
            </w:tcBorders>
            <w:shd w:val="clear" w:color="auto" w:fill="auto"/>
            <w:noWrap/>
            <w:vAlign w:val="center"/>
            <w:hideMark/>
          </w:tcPr>
          <w:p w:rsidR="008678DD" w:rsidRDefault="008678DD" w:rsidP="008678DD">
            <w:pPr>
              <w:keepNext/>
              <w:keepLines/>
              <w:jc w:val="right"/>
              <w:rPr>
                <w:b/>
                <w:bCs/>
                <w:color w:val="000000"/>
                <w:sz w:val="20"/>
                <w:szCs w:val="20"/>
              </w:rPr>
            </w:pPr>
            <w:r>
              <w:rPr>
                <w:b/>
                <w:bCs/>
                <w:color w:val="000000"/>
                <w:sz w:val="20"/>
                <w:szCs w:val="20"/>
              </w:rPr>
              <w:t xml:space="preserve">           111 </w:t>
            </w:r>
          </w:p>
        </w:tc>
        <w:tc>
          <w:tcPr>
            <w:tcW w:w="884" w:type="dxa"/>
            <w:tcBorders>
              <w:top w:val="nil"/>
              <w:left w:val="nil"/>
              <w:bottom w:val="nil"/>
              <w:right w:val="single" w:sz="4" w:space="0" w:color="auto"/>
            </w:tcBorders>
            <w:shd w:val="clear" w:color="auto" w:fill="auto"/>
            <w:noWrap/>
            <w:vAlign w:val="center"/>
            <w:hideMark/>
          </w:tcPr>
          <w:p w:rsidR="008678DD" w:rsidRDefault="008678DD" w:rsidP="008678DD">
            <w:pPr>
              <w:keepNext/>
              <w:keepLines/>
              <w:jc w:val="right"/>
              <w:rPr>
                <w:b/>
                <w:bCs/>
                <w:color w:val="000000"/>
                <w:sz w:val="20"/>
                <w:szCs w:val="20"/>
              </w:rPr>
            </w:pPr>
            <w:r>
              <w:rPr>
                <w:b/>
                <w:bCs/>
                <w:color w:val="000000"/>
                <w:sz w:val="20"/>
                <w:szCs w:val="20"/>
              </w:rPr>
              <w:t xml:space="preserve">           113 </w:t>
            </w:r>
          </w:p>
        </w:tc>
        <w:tc>
          <w:tcPr>
            <w:tcW w:w="883" w:type="dxa"/>
            <w:tcBorders>
              <w:top w:val="nil"/>
              <w:left w:val="nil"/>
              <w:bottom w:val="nil"/>
              <w:right w:val="single" w:sz="4" w:space="0" w:color="auto"/>
            </w:tcBorders>
            <w:shd w:val="clear" w:color="auto" w:fill="auto"/>
            <w:noWrap/>
            <w:vAlign w:val="center"/>
            <w:hideMark/>
          </w:tcPr>
          <w:p w:rsidR="008678DD" w:rsidRDefault="008678DD" w:rsidP="008678DD">
            <w:pPr>
              <w:keepNext/>
              <w:keepLines/>
              <w:jc w:val="right"/>
              <w:rPr>
                <w:b/>
                <w:bCs/>
                <w:color w:val="000000"/>
                <w:sz w:val="20"/>
                <w:szCs w:val="20"/>
              </w:rPr>
            </w:pPr>
            <w:r>
              <w:rPr>
                <w:b/>
                <w:bCs/>
                <w:color w:val="000000"/>
                <w:sz w:val="20"/>
                <w:szCs w:val="20"/>
              </w:rPr>
              <w:t xml:space="preserve">            115 </w:t>
            </w:r>
          </w:p>
        </w:tc>
        <w:tc>
          <w:tcPr>
            <w:tcW w:w="884" w:type="dxa"/>
            <w:tcBorders>
              <w:top w:val="nil"/>
              <w:left w:val="nil"/>
              <w:bottom w:val="nil"/>
              <w:right w:val="single" w:sz="4" w:space="0" w:color="auto"/>
            </w:tcBorders>
            <w:shd w:val="clear" w:color="auto" w:fill="auto"/>
            <w:noWrap/>
            <w:vAlign w:val="center"/>
            <w:hideMark/>
          </w:tcPr>
          <w:p w:rsidR="008678DD" w:rsidRDefault="008678DD" w:rsidP="008678DD">
            <w:pPr>
              <w:keepNext/>
              <w:keepLines/>
              <w:jc w:val="right"/>
              <w:rPr>
                <w:b/>
                <w:bCs/>
                <w:color w:val="000000"/>
                <w:sz w:val="20"/>
                <w:szCs w:val="20"/>
              </w:rPr>
            </w:pPr>
            <w:r>
              <w:rPr>
                <w:b/>
                <w:bCs/>
                <w:color w:val="000000"/>
                <w:sz w:val="20"/>
                <w:szCs w:val="20"/>
              </w:rPr>
              <w:t xml:space="preserve">             121 </w:t>
            </w:r>
          </w:p>
        </w:tc>
      </w:tr>
      <w:tr w:rsidR="008678DD" w:rsidTr="00AB5C2F">
        <w:trPr>
          <w:trHeight w:val="765"/>
        </w:trPr>
        <w:tc>
          <w:tcPr>
            <w:tcW w:w="960" w:type="dxa"/>
            <w:tcBorders>
              <w:top w:val="nil"/>
              <w:left w:val="single" w:sz="4" w:space="0" w:color="auto"/>
              <w:bottom w:val="single" w:sz="4" w:space="0" w:color="auto"/>
              <w:right w:val="single" w:sz="4" w:space="0" w:color="auto"/>
            </w:tcBorders>
            <w:shd w:val="clear" w:color="auto" w:fill="auto"/>
            <w:vAlign w:val="center"/>
          </w:tcPr>
          <w:p w:rsidR="008678DD" w:rsidRDefault="008678DD" w:rsidP="008678DD">
            <w:pPr>
              <w:keepNext/>
              <w:keepLines/>
              <w:rPr>
                <w:b/>
                <w:bCs/>
                <w:color w:val="000000"/>
                <w:sz w:val="20"/>
                <w:szCs w:val="20"/>
              </w:rPr>
            </w:pPr>
          </w:p>
        </w:tc>
        <w:tc>
          <w:tcPr>
            <w:tcW w:w="883" w:type="dxa"/>
            <w:tcBorders>
              <w:top w:val="nil"/>
              <w:left w:val="nil"/>
              <w:bottom w:val="single" w:sz="4" w:space="0" w:color="auto"/>
              <w:right w:val="single" w:sz="4" w:space="0" w:color="auto"/>
            </w:tcBorders>
            <w:shd w:val="clear" w:color="auto" w:fill="auto"/>
            <w:noWrap/>
            <w:vAlign w:val="center"/>
          </w:tcPr>
          <w:p w:rsidR="008678DD" w:rsidRDefault="008678DD" w:rsidP="008678DD">
            <w:pPr>
              <w:keepNext/>
              <w:keepLines/>
              <w:jc w:val="right"/>
              <w:rPr>
                <w:b/>
                <w:bCs/>
                <w:color w:val="000000"/>
                <w:sz w:val="20"/>
                <w:szCs w:val="20"/>
              </w:rPr>
            </w:pPr>
          </w:p>
        </w:tc>
        <w:tc>
          <w:tcPr>
            <w:tcW w:w="883" w:type="dxa"/>
            <w:tcBorders>
              <w:top w:val="nil"/>
              <w:left w:val="nil"/>
              <w:bottom w:val="single" w:sz="4" w:space="0" w:color="auto"/>
              <w:right w:val="single" w:sz="4" w:space="0" w:color="auto"/>
            </w:tcBorders>
            <w:shd w:val="clear" w:color="auto" w:fill="auto"/>
            <w:noWrap/>
            <w:vAlign w:val="center"/>
          </w:tcPr>
          <w:p w:rsidR="008678DD" w:rsidRDefault="008678DD" w:rsidP="008678DD">
            <w:pPr>
              <w:keepNext/>
              <w:keepLines/>
              <w:jc w:val="right"/>
              <w:rPr>
                <w:b/>
                <w:bCs/>
                <w:color w:val="000000"/>
                <w:sz w:val="20"/>
                <w:szCs w:val="20"/>
              </w:rPr>
            </w:pPr>
          </w:p>
        </w:tc>
        <w:tc>
          <w:tcPr>
            <w:tcW w:w="884" w:type="dxa"/>
            <w:tcBorders>
              <w:top w:val="nil"/>
              <w:left w:val="nil"/>
              <w:bottom w:val="single" w:sz="4" w:space="0" w:color="auto"/>
              <w:right w:val="single" w:sz="4" w:space="0" w:color="auto"/>
            </w:tcBorders>
            <w:shd w:val="clear" w:color="auto" w:fill="auto"/>
            <w:noWrap/>
            <w:vAlign w:val="center"/>
          </w:tcPr>
          <w:p w:rsidR="008678DD" w:rsidRDefault="008678DD" w:rsidP="008678DD">
            <w:pPr>
              <w:keepNext/>
              <w:keepLines/>
              <w:jc w:val="right"/>
              <w:rPr>
                <w:b/>
                <w:bCs/>
                <w:color w:val="000000"/>
                <w:sz w:val="20"/>
                <w:szCs w:val="20"/>
              </w:rPr>
            </w:pPr>
          </w:p>
        </w:tc>
        <w:tc>
          <w:tcPr>
            <w:tcW w:w="883" w:type="dxa"/>
            <w:tcBorders>
              <w:top w:val="nil"/>
              <w:left w:val="nil"/>
              <w:bottom w:val="single" w:sz="4" w:space="0" w:color="auto"/>
              <w:right w:val="single" w:sz="4" w:space="0" w:color="auto"/>
            </w:tcBorders>
            <w:shd w:val="clear" w:color="auto" w:fill="auto"/>
            <w:noWrap/>
            <w:vAlign w:val="center"/>
          </w:tcPr>
          <w:p w:rsidR="008678DD" w:rsidRDefault="008678DD" w:rsidP="008678DD">
            <w:pPr>
              <w:keepNext/>
              <w:keepLines/>
              <w:jc w:val="right"/>
              <w:rPr>
                <w:b/>
                <w:bCs/>
                <w:color w:val="000000"/>
                <w:sz w:val="20"/>
                <w:szCs w:val="20"/>
              </w:rPr>
            </w:pPr>
          </w:p>
        </w:tc>
        <w:tc>
          <w:tcPr>
            <w:tcW w:w="884" w:type="dxa"/>
            <w:tcBorders>
              <w:top w:val="nil"/>
              <w:left w:val="nil"/>
              <w:bottom w:val="single" w:sz="4" w:space="0" w:color="auto"/>
              <w:right w:val="single" w:sz="4" w:space="0" w:color="auto"/>
            </w:tcBorders>
            <w:shd w:val="clear" w:color="auto" w:fill="auto"/>
            <w:noWrap/>
            <w:vAlign w:val="center"/>
          </w:tcPr>
          <w:p w:rsidR="008678DD" w:rsidRDefault="008678DD" w:rsidP="008678DD">
            <w:pPr>
              <w:keepNext/>
              <w:keepLines/>
              <w:jc w:val="right"/>
              <w:rPr>
                <w:b/>
                <w:bCs/>
                <w:color w:val="000000"/>
                <w:sz w:val="20"/>
                <w:szCs w:val="20"/>
              </w:rPr>
            </w:pPr>
          </w:p>
        </w:tc>
        <w:tc>
          <w:tcPr>
            <w:tcW w:w="883" w:type="dxa"/>
            <w:tcBorders>
              <w:top w:val="nil"/>
              <w:left w:val="nil"/>
              <w:bottom w:val="single" w:sz="4" w:space="0" w:color="auto"/>
              <w:right w:val="single" w:sz="4" w:space="0" w:color="auto"/>
            </w:tcBorders>
            <w:shd w:val="clear" w:color="auto" w:fill="auto"/>
            <w:noWrap/>
            <w:vAlign w:val="center"/>
          </w:tcPr>
          <w:p w:rsidR="008678DD" w:rsidRDefault="008678DD" w:rsidP="008678DD">
            <w:pPr>
              <w:keepNext/>
              <w:keepLines/>
              <w:jc w:val="right"/>
              <w:rPr>
                <w:b/>
                <w:bCs/>
                <w:color w:val="000000"/>
                <w:sz w:val="20"/>
                <w:szCs w:val="20"/>
              </w:rPr>
            </w:pPr>
          </w:p>
        </w:tc>
        <w:tc>
          <w:tcPr>
            <w:tcW w:w="884" w:type="dxa"/>
            <w:tcBorders>
              <w:top w:val="nil"/>
              <w:left w:val="nil"/>
              <w:bottom w:val="single" w:sz="4" w:space="0" w:color="auto"/>
              <w:right w:val="single" w:sz="4" w:space="0" w:color="auto"/>
            </w:tcBorders>
            <w:shd w:val="clear" w:color="auto" w:fill="auto"/>
            <w:noWrap/>
            <w:vAlign w:val="center"/>
          </w:tcPr>
          <w:p w:rsidR="008678DD" w:rsidRDefault="008678DD" w:rsidP="008678DD">
            <w:pPr>
              <w:keepNext/>
              <w:keepLines/>
              <w:jc w:val="right"/>
              <w:rPr>
                <w:b/>
                <w:bCs/>
                <w:color w:val="000000"/>
                <w:sz w:val="20"/>
                <w:szCs w:val="20"/>
              </w:rPr>
            </w:pPr>
          </w:p>
        </w:tc>
        <w:tc>
          <w:tcPr>
            <w:tcW w:w="883" w:type="dxa"/>
            <w:tcBorders>
              <w:top w:val="nil"/>
              <w:left w:val="nil"/>
              <w:bottom w:val="single" w:sz="4" w:space="0" w:color="auto"/>
              <w:right w:val="single" w:sz="4" w:space="0" w:color="auto"/>
            </w:tcBorders>
            <w:shd w:val="clear" w:color="auto" w:fill="auto"/>
            <w:noWrap/>
            <w:vAlign w:val="center"/>
          </w:tcPr>
          <w:p w:rsidR="008678DD" w:rsidRDefault="008678DD" w:rsidP="008678DD">
            <w:pPr>
              <w:keepNext/>
              <w:keepLines/>
              <w:jc w:val="right"/>
              <w:rPr>
                <w:b/>
                <w:bCs/>
                <w:color w:val="000000"/>
                <w:sz w:val="20"/>
                <w:szCs w:val="20"/>
              </w:rPr>
            </w:pPr>
          </w:p>
        </w:tc>
        <w:tc>
          <w:tcPr>
            <w:tcW w:w="884" w:type="dxa"/>
            <w:tcBorders>
              <w:top w:val="nil"/>
              <w:left w:val="nil"/>
              <w:bottom w:val="single" w:sz="4" w:space="0" w:color="auto"/>
              <w:right w:val="single" w:sz="4" w:space="0" w:color="auto"/>
            </w:tcBorders>
            <w:shd w:val="clear" w:color="auto" w:fill="auto"/>
            <w:noWrap/>
            <w:vAlign w:val="center"/>
          </w:tcPr>
          <w:p w:rsidR="008678DD" w:rsidRDefault="008678DD" w:rsidP="008678DD">
            <w:pPr>
              <w:keepNext/>
              <w:keepLines/>
              <w:jc w:val="right"/>
              <w:rPr>
                <w:b/>
                <w:bCs/>
                <w:color w:val="000000"/>
                <w:sz w:val="20"/>
                <w:szCs w:val="20"/>
              </w:rPr>
            </w:pPr>
          </w:p>
        </w:tc>
      </w:tr>
    </w:tbl>
    <w:p w:rsidR="009A7C16" w:rsidRDefault="002529EF" w:rsidP="008678DD">
      <w:pPr>
        <w:pStyle w:val="Default"/>
        <w:keepNext/>
        <w:keepLines/>
        <w:spacing w:before="180" w:line="360" w:lineRule="auto"/>
        <w:rPr>
          <w:rFonts w:ascii="Times New Roman" w:hAnsi="Times New Roman" w:cs="Times New Roman"/>
          <w:b/>
          <w:sz w:val="22"/>
          <w:szCs w:val="22"/>
        </w:rPr>
      </w:pPr>
      <w:r w:rsidRPr="00573B48">
        <w:rPr>
          <w:rFonts w:ascii="Times New Roman" w:hAnsi="Times New Roman" w:cs="Times New Roman"/>
          <w:b/>
          <w:sz w:val="22"/>
          <w:szCs w:val="22"/>
        </w:rPr>
        <w:t xml:space="preserve">  </w:t>
      </w:r>
    </w:p>
    <w:p w:rsidR="002529EF" w:rsidRPr="009603EF" w:rsidRDefault="002529EF" w:rsidP="008678DD">
      <w:pPr>
        <w:pStyle w:val="Default"/>
        <w:keepNext/>
        <w:keepLines/>
        <w:spacing w:before="180" w:line="360" w:lineRule="auto"/>
        <w:rPr>
          <w:rFonts w:ascii="Times New Roman" w:hAnsi="Times New Roman" w:cs="Times New Roman"/>
          <w:color w:val="auto"/>
          <w:lang w:val="en-GB"/>
        </w:rPr>
      </w:pPr>
      <w:r w:rsidRPr="009603EF">
        <w:rPr>
          <w:rFonts w:ascii="Times New Roman" w:hAnsi="Times New Roman" w:cs="Times New Roman"/>
          <w:color w:val="auto"/>
          <w:lang w:val="en-GB"/>
        </w:rPr>
        <w:t xml:space="preserve">Finally, a </w:t>
      </w:r>
      <w:r w:rsidRPr="004B6C86">
        <w:rPr>
          <w:rFonts w:ascii="Times New Roman" w:hAnsi="Times New Roman" w:cs="Times New Roman"/>
          <w:b/>
          <w:bCs/>
          <w:color w:val="auto"/>
          <w:lang w:val="en-GB"/>
        </w:rPr>
        <w:t>chained index</w:t>
      </w:r>
      <w:r w:rsidRPr="009603EF">
        <w:rPr>
          <w:rFonts w:ascii="Times New Roman" w:hAnsi="Times New Roman" w:cs="Times New Roman"/>
          <w:color w:val="auto"/>
          <w:lang w:val="en-GB"/>
        </w:rPr>
        <w:t xml:space="preserve"> was established which took all city results into account once a city reported data in two subsequent years. i.e.</w:t>
      </w:r>
      <w:r w:rsidR="00A031FC">
        <w:rPr>
          <w:rFonts w:ascii="Times New Roman" w:hAnsi="Times New Roman" w:cs="Times New Roman"/>
          <w:color w:val="auto"/>
          <w:lang w:val="en-GB"/>
        </w:rPr>
        <w:t>,</w:t>
      </w:r>
      <w:r w:rsidRPr="009603EF">
        <w:rPr>
          <w:rFonts w:ascii="Times New Roman" w:hAnsi="Times New Roman" w:cs="Times New Roman"/>
          <w:color w:val="auto"/>
          <w:lang w:val="en-GB"/>
        </w:rPr>
        <w:t xml:space="preserve"> reporting in year</w:t>
      </w:r>
      <w:r w:rsidR="00A031FC">
        <w:rPr>
          <w:rFonts w:ascii="Times New Roman" w:hAnsi="Times New Roman" w:cs="Times New Roman"/>
          <w:color w:val="auto"/>
          <w:lang w:val="en-GB"/>
        </w:rPr>
        <w:t xml:space="preserve"> </w:t>
      </w:r>
      <w:r w:rsidRPr="009603EF">
        <w:rPr>
          <w:rFonts w:ascii="Times New Roman" w:hAnsi="Times New Roman" w:cs="Times New Roman"/>
          <w:color w:val="auto"/>
          <w:lang w:val="en-GB"/>
        </w:rPr>
        <w:t>x followed by reporting in year</w:t>
      </w:r>
      <w:r w:rsidR="00A031FC">
        <w:rPr>
          <w:rFonts w:ascii="Times New Roman" w:hAnsi="Times New Roman" w:cs="Times New Roman"/>
          <w:color w:val="auto"/>
          <w:lang w:val="en-GB"/>
        </w:rPr>
        <w:t xml:space="preserve"> </w:t>
      </w:r>
      <w:r w:rsidRPr="009603EF">
        <w:rPr>
          <w:rFonts w:ascii="Times New Roman" w:hAnsi="Times New Roman" w:cs="Times New Roman"/>
          <w:color w:val="auto"/>
          <w:lang w:val="en-GB"/>
        </w:rPr>
        <w:t>x+1.   The advantage of this method is that it is based entirely on reported data and does not require any explicit assumptions to be made about missing data. The disadvantage is that it is based on fewer datapoints as it does not cover trends once there has not been any immediately following reporting.   Emerging trends from reporting in year</w:t>
      </w:r>
      <w:r w:rsidR="00A031FC">
        <w:rPr>
          <w:rFonts w:ascii="Times New Roman" w:hAnsi="Times New Roman" w:cs="Times New Roman"/>
          <w:color w:val="auto"/>
          <w:lang w:val="en-GB"/>
        </w:rPr>
        <w:t xml:space="preserve"> </w:t>
      </w:r>
      <w:r w:rsidRPr="009603EF">
        <w:rPr>
          <w:rFonts w:ascii="Times New Roman" w:hAnsi="Times New Roman" w:cs="Times New Roman"/>
          <w:color w:val="auto"/>
          <w:lang w:val="en-GB"/>
        </w:rPr>
        <w:t>x and again in year</w:t>
      </w:r>
      <w:r w:rsidR="00A031FC">
        <w:rPr>
          <w:rFonts w:ascii="Times New Roman" w:hAnsi="Times New Roman" w:cs="Times New Roman"/>
          <w:color w:val="auto"/>
          <w:lang w:val="en-GB"/>
        </w:rPr>
        <w:t xml:space="preserve"> </w:t>
      </w:r>
      <w:r w:rsidRPr="009603EF">
        <w:rPr>
          <w:rFonts w:ascii="Times New Roman" w:hAnsi="Times New Roman" w:cs="Times New Roman"/>
          <w:color w:val="auto"/>
          <w:lang w:val="en-GB"/>
        </w:rPr>
        <w:t xml:space="preserve">x+2, or in year x+3, etc. are ignored in this model. </w:t>
      </w:r>
    </w:p>
    <w:p w:rsidR="002529EF" w:rsidRDefault="002529EF" w:rsidP="00F16E68">
      <w:r>
        <w:t xml:space="preserve">A hypothetical sample is shown below, calculating paired averages to arrive at growth rates and combine the results into a chained index: </w:t>
      </w:r>
    </w:p>
    <w:p w:rsidR="008D290B" w:rsidRDefault="008D290B" w:rsidP="008D290B">
      <w:pPr>
        <w:pStyle w:val="Pa0"/>
        <w:keepNext/>
        <w:keepLines/>
        <w:widowControl w:val="0"/>
        <w:spacing w:before="180" w:line="360" w:lineRule="auto"/>
        <w:jc w:val="both"/>
        <w:rPr>
          <w:rFonts w:ascii="Times New Roman" w:hAnsi="Times New Roman"/>
          <w:b/>
          <w:sz w:val="22"/>
          <w:szCs w:val="22"/>
        </w:rPr>
      </w:pPr>
      <w:r w:rsidRPr="00573B48">
        <w:rPr>
          <w:rFonts w:ascii="Times New Roman" w:hAnsi="Times New Roman"/>
          <w:b/>
          <w:sz w:val="22"/>
          <w:szCs w:val="22"/>
        </w:rPr>
        <w:t xml:space="preserve">Hypothetical sample:  data of benzoylecgonine per 1000 inhabitants in four cities    </w:t>
      </w:r>
    </w:p>
    <w:tbl>
      <w:tblPr>
        <w:tblW w:w="8995" w:type="dxa"/>
        <w:tblInd w:w="113" w:type="dxa"/>
        <w:tblLayout w:type="fixed"/>
        <w:tblLook w:val="04A0"/>
      </w:tblPr>
      <w:tblGrid>
        <w:gridCol w:w="899"/>
        <w:gridCol w:w="900"/>
        <w:gridCol w:w="899"/>
        <w:gridCol w:w="900"/>
        <w:gridCol w:w="899"/>
        <w:gridCol w:w="900"/>
        <w:gridCol w:w="899"/>
        <w:gridCol w:w="900"/>
        <w:gridCol w:w="899"/>
        <w:gridCol w:w="900"/>
      </w:tblGrid>
      <w:tr w:rsidR="00E86EFA" w:rsidTr="00AB5C2F">
        <w:trPr>
          <w:trHeight w:val="3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EFA" w:rsidRDefault="00E86EFA" w:rsidP="00E86EFA">
            <w:pPr>
              <w:keepNext/>
              <w:keepLines/>
              <w:rPr>
                <w:color w:val="000000"/>
                <w:sz w:val="20"/>
                <w:szCs w:val="20"/>
                <w:lang w:eastAsia="zh-CN"/>
              </w:rPr>
            </w:pPr>
            <w:r>
              <w:rPr>
                <w:color w:val="000000"/>
                <w:sz w:val="20"/>
                <w:szCs w:val="20"/>
              </w:rPr>
              <w:t> </w:t>
            </w:r>
          </w:p>
        </w:tc>
        <w:tc>
          <w:tcPr>
            <w:tcW w:w="900" w:type="dxa"/>
            <w:tcBorders>
              <w:top w:val="single" w:sz="4" w:space="0" w:color="auto"/>
              <w:left w:val="nil"/>
              <w:bottom w:val="single" w:sz="4" w:space="0" w:color="auto"/>
              <w:right w:val="single" w:sz="4" w:space="0" w:color="auto"/>
            </w:tcBorders>
            <w:shd w:val="clear" w:color="auto" w:fill="auto"/>
            <w:hideMark/>
          </w:tcPr>
          <w:p w:rsidR="00E86EFA" w:rsidRDefault="00E86EFA" w:rsidP="00E86EFA">
            <w:pPr>
              <w:keepNext/>
              <w:keepLines/>
              <w:jc w:val="right"/>
              <w:rPr>
                <w:color w:val="000000"/>
                <w:sz w:val="20"/>
                <w:szCs w:val="20"/>
              </w:rPr>
            </w:pPr>
            <w:r w:rsidRPr="00CE6EC4">
              <w:rPr>
                <w:sz w:val="20"/>
                <w:szCs w:val="20"/>
              </w:rPr>
              <w:t>2014</w:t>
            </w:r>
          </w:p>
        </w:tc>
        <w:tc>
          <w:tcPr>
            <w:tcW w:w="899" w:type="dxa"/>
            <w:tcBorders>
              <w:top w:val="single" w:sz="4" w:space="0" w:color="auto"/>
              <w:left w:val="nil"/>
              <w:bottom w:val="single" w:sz="4" w:space="0" w:color="auto"/>
              <w:right w:val="single" w:sz="4" w:space="0" w:color="auto"/>
            </w:tcBorders>
            <w:shd w:val="clear" w:color="auto" w:fill="auto"/>
            <w:hideMark/>
          </w:tcPr>
          <w:p w:rsidR="00E86EFA" w:rsidRDefault="00E86EFA" w:rsidP="00E86EFA">
            <w:pPr>
              <w:keepNext/>
              <w:keepLines/>
              <w:jc w:val="right"/>
              <w:rPr>
                <w:color w:val="000000"/>
                <w:sz w:val="20"/>
                <w:szCs w:val="20"/>
              </w:rPr>
            </w:pPr>
            <w:r w:rsidRPr="00CE6EC4">
              <w:rPr>
                <w:sz w:val="20"/>
                <w:szCs w:val="20"/>
              </w:rPr>
              <w:t>2015</w:t>
            </w:r>
          </w:p>
        </w:tc>
        <w:tc>
          <w:tcPr>
            <w:tcW w:w="900" w:type="dxa"/>
            <w:tcBorders>
              <w:top w:val="single" w:sz="4" w:space="0" w:color="auto"/>
              <w:left w:val="nil"/>
              <w:bottom w:val="single" w:sz="4" w:space="0" w:color="auto"/>
              <w:right w:val="single" w:sz="4" w:space="0" w:color="auto"/>
            </w:tcBorders>
            <w:shd w:val="clear" w:color="auto" w:fill="auto"/>
            <w:hideMark/>
          </w:tcPr>
          <w:p w:rsidR="00E86EFA" w:rsidRDefault="00E86EFA" w:rsidP="00E86EFA">
            <w:pPr>
              <w:keepNext/>
              <w:keepLines/>
              <w:jc w:val="right"/>
              <w:rPr>
                <w:color w:val="000000"/>
                <w:sz w:val="20"/>
                <w:szCs w:val="20"/>
              </w:rPr>
            </w:pPr>
            <w:r w:rsidRPr="00CE6EC4">
              <w:rPr>
                <w:sz w:val="20"/>
                <w:szCs w:val="20"/>
              </w:rPr>
              <w:t>2017</w:t>
            </w:r>
          </w:p>
        </w:tc>
        <w:tc>
          <w:tcPr>
            <w:tcW w:w="899" w:type="dxa"/>
            <w:tcBorders>
              <w:top w:val="single" w:sz="4" w:space="0" w:color="auto"/>
              <w:left w:val="nil"/>
              <w:bottom w:val="single" w:sz="4" w:space="0" w:color="auto"/>
              <w:right w:val="single" w:sz="4" w:space="0" w:color="auto"/>
            </w:tcBorders>
            <w:shd w:val="clear" w:color="auto" w:fill="auto"/>
            <w:hideMark/>
          </w:tcPr>
          <w:p w:rsidR="00E86EFA" w:rsidRDefault="00E86EFA" w:rsidP="00E86EFA">
            <w:pPr>
              <w:keepNext/>
              <w:keepLines/>
              <w:jc w:val="right"/>
              <w:rPr>
                <w:color w:val="000000"/>
                <w:sz w:val="20"/>
                <w:szCs w:val="20"/>
              </w:rPr>
            </w:pPr>
            <w:r w:rsidRPr="00CE6EC4">
              <w:rPr>
                <w:sz w:val="20"/>
                <w:szCs w:val="20"/>
              </w:rPr>
              <w:t>2017</w:t>
            </w:r>
          </w:p>
        </w:tc>
        <w:tc>
          <w:tcPr>
            <w:tcW w:w="900" w:type="dxa"/>
            <w:tcBorders>
              <w:top w:val="single" w:sz="4" w:space="0" w:color="auto"/>
              <w:left w:val="nil"/>
              <w:bottom w:val="single" w:sz="4" w:space="0" w:color="auto"/>
              <w:right w:val="single" w:sz="4" w:space="0" w:color="auto"/>
            </w:tcBorders>
            <w:shd w:val="clear" w:color="auto" w:fill="auto"/>
            <w:hideMark/>
          </w:tcPr>
          <w:p w:rsidR="00E86EFA" w:rsidRDefault="00E86EFA" w:rsidP="00E86EFA">
            <w:pPr>
              <w:keepNext/>
              <w:keepLines/>
              <w:jc w:val="right"/>
              <w:rPr>
                <w:color w:val="000000"/>
                <w:sz w:val="20"/>
                <w:szCs w:val="20"/>
              </w:rPr>
            </w:pPr>
            <w:r w:rsidRPr="00CE6EC4">
              <w:rPr>
                <w:sz w:val="20"/>
                <w:szCs w:val="20"/>
              </w:rPr>
              <w:t>2018</w:t>
            </w:r>
          </w:p>
        </w:tc>
        <w:tc>
          <w:tcPr>
            <w:tcW w:w="899" w:type="dxa"/>
            <w:tcBorders>
              <w:top w:val="single" w:sz="4" w:space="0" w:color="auto"/>
              <w:left w:val="nil"/>
              <w:bottom w:val="single" w:sz="4" w:space="0" w:color="auto"/>
              <w:right w:val="single" w:sz="4" w:space="0" w:color="auto"/>
            </w:tcBorders>
            <w:shd w:val="clear" w:color="auto" w:fill="auto"/>
            <w:hideMark/>
          </w:tcPr>
          <w:p w:rsidR="00E86EFA" w:rsidRDefault="00E86EFA" w:rsidP="00E86EFA">
            <w:pPr>
              <w:keepNext/>
              <w:keepLines/>
              <w:jc w:val="right"/>
              <w:rPr>
                <w:color w:val="000000"/>
                <w:sz w:val="20"/>
                <w:szCs w:val="20"/>
              </w:rPr>
            </w:pPr>
            <w:r w:rsidRPr="00CE6EC4">
              <w:rPr>
                <w:sz w:val="20"/>
                <w:szCs w:val="20"/>
              </w:rPr>
              <w:t>2019</w:t>
            </w:r>
          </w:p>
        </w:tc>
        <w:tc>
          <w:tcPr>
            <w:tcW w:w="900" w:type="dxa"/>
            <w:tcBorders>
              <w:top w:val="single" w:sz="4" w:space="0" w:color="auto"/>
              <w:left w:val="nil"/>
              <w:bottom w:val="single" w:sz="4" w:space="0" w:color="auto"/>
              <w:right w:val="single" w:sz="4" w:space="0" w:color="auto"/>
            </w:tcBorders>
            <w:shd w:val="clear" w:color="auto" w:fill="auto"/>
            <w:hideMark/>
          </w:tcPr>
          <w:p w:rsidR="00E86EFA" w:rsidRDefault="00E86EFA" w:rsidP="00E86EFA">
            <w:pPr>
              <w:keepNext/>
              <w:keepLines/>
              <w:jc w:val="right"/>
              <w:rPr>
                <w:color w:val="000000"/>
                <w:sz w:val="20"/>
                <w:szCs w:val="20"/>
              </w:rPr>
            </w:pPr>
            <w:r w:rsidRPr="00CE6EC4">
              <w:rPr>
                <w:sz w:val="20"/>
                <w:szCs w:val="20"/>
              </w:rPr>
              <w:t>2020</w:t>
            </w:r>
          </w:p>
        </w:tc>
        <w:tc>
          <w:tcPr>
            <w:tcW w:w="899" w:type="dxa"/>
            <w:tcBorders>
              <w:top w:val="single" w:sz="4" w:space="0" w:color="auto"/>
              <w:left w:val="nil"/>
              <w:bottom w:val="single" w:sz="4" w:space="0" w:color="auto"/>
              <w:right w:val="single" w:sz="4" w:space="0" w:color="auto"/>
            </w:tcBorders>
            <w:shd w:val="clear" w:color="auto" w:fill="auto"/>
            <w:hideMark/>
          </w:tcPr>
          <w:p w:rsidR="00E86EFA" w:rsidRDefault="00E86EFA" w:rsidP="00E86EFA">
            <w:pPr>
              <w:keepNext/>
              <w:keepLines/>
              <w:jc w:val="right"/>
              <w:rPr>
                <w:color w:val="000000"/>
                <w:sz w:val="20"/>
                <w:szCs w:val="20"/>
              </w:rPr>
            </w:pPr>
            <w:r w:rsidRPr="00CE6EC4">
              <w:rPr>
                <w:sz w:val="20"/>
                <w:szCs w:val="20"/>
              </w:rPr>
              <w:t>2021</w:t>
            </w:r>
          </w:p>
        </w:tc>
        <w:tc>
          <w:tcPr>
            <w:tcW w:w="900" w:type="dxa"/>
            <w:tcBorders>
              <w:top w:val="single" w:sz="4" w:space="0" w:color="auto"/>
              <w:left w:val="nil"/>
              <w:bottom w:val="single" w:sz="4" w:space="0" w:color="auto"/>
              <w:right w:val="single" w:sz="4" w:space="0" w:color="auto"/>
            </w:tcBorders>
            <w:shd w:val="clear" w:color="auto" w:fill="auto"/>
            <w:hideMark/>
          </w:tcPr>
          <w:p w:rsidR="00E86EFA" w:rsidRDefault="00E86EFA" w:rsidP="00E86EFA">
            <w:pPr>
              <w:keepNext/>
              <w:keepLines/>
              <w:jc w:val="right"/>
              <w:rPr>
                <w:color w:val="000000"/>
                <w:sz w:val="20"/>
                <w:szCs w:val="20"/>
              </w:rPr>
            </w:pPr>
            <w:r w:rsidRPr="00CE6EC4">
              <w:rPr>
                <w:sz w:val="20"/>
                <w:szCs w:val="20"/>
              </w:rPr>
              <w:t>202</w:t>
            </w:r>
            <w:r>
              <w:rPr>
                <w:sz w:val="20"/>
                <w:szCs w:val="20"/>
              </w:rPr>
              <w:t>2</w:t>
            </w:r>
          </w:p>
        </w:tc>
      </w:tr>
      <w:tr w:rsidR="00E86EFA" w:rsidTr="00AB5C2F">
        <w:trPr>
          <w:trHeight w:val="30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E86EFA" w:rsidRDefault="00E86EFA" w:rsidP="00E86EFA">
            <w:pPr>
              <w:keepNext/>
              <w:keepLines/>
              <w:rPr>
                <w:color w:val="000000"/>
                <w:sz w:val="20"/>
                <w:szCs w:val="20"/>
              </w:rPr>
            </w:pPr>
            <w:r>
              <w:rPr>
                <w:color w:val="000000"/>
                <w:sz w:val="20"/>
                <w:szCs w:val="20"/>
              </w:rPr>
              <w:t>City A</w:t>
            </w:r>
          </w:p>
        </w:tc>
        <w:tc>
          <w:tcPr>
            <w:tcW w:w="900"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000000"/>
                <w:sz w:val="20"/>
                <w:szCs w:val="20"/>
              </w:rPr>
            </w:pPr>
            <w:r>
              <w:rPr>
                <w:color w:val="000000"/>
                <w:sz w:val="20"/>
                <w:szCs w:val="20"/>
              </w:rPr>
              <w:t>80</w:t>
            </w:r>
          </w:p>
        </w:tc>
        <w:tc>
          <w:tcPr>
            <w:tcW w:w="899"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000000"/>
                <w:sz w:val="20"/>
                <w:szCs w:val="20"/>
              </w:rPr>
            </w:pPr>
            <w:r>
              <w:rPr>
                <w:color w:val="000000"/>
                <w:sz w:val="20"/>
                <w:szCs w:val="20"/>
              </w:rPr>
              <w:t>78</w:t>
            </w:r>
          </w:p>
        </w:tc>
        <w:tc>
          <w:tcPr>
            <w:tcW w:w="900"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000000"/>
                <w:sz w:val="20"/>
                <w:szCs w:val="20"/>
              </w:rPr>
            </w:pPr>
            <w:r>
              <w:rPr>
                <w:color w:val="000000"/>
                <w:sz w:val="20"/>
                <w:szCs w:val="20"/>
              </w:rPr>
              <w:t>75</w:t>
            </w:r>
          </w:p>
        </w:tc>
        <w:tc>
          <w:tcPr>
            <w:tcW w:w="899"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000000"/>
                <w:sz w:val="20"/>
                <w:szCs w:val="20"/>
              </w:rPr>
            </w:pPr>
            <w:r>
              <w:rPr>
                <w:color w:val="000000"/>
                <w:sz w:val="20"/>
                <w:szCs w:val="20"/>
              </w:rPr>
              <w:t>80</w:t>
            </w:r>
          </w:p>
        </w:tc>
        <w:tc>
          <w:tcPr>
            <w:tcW w:w="900"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000000"/>
                <w:sz w:val="20"/>
                <w:szCs w:val="20"/>
              </w:rPr>
            </w:pPr>
            <w:r>
              <w:rPr>
                <w:color w:val="000000"/>
                <w:sz w:val="20"/>
                <w:szCs w:val="20"/>
              </w:rPr>
              <w:t>92</w:t>
            </w:r>
          </w:p>
        </w:tc>
        <w:tc>
          <w:tcPr>
            <w:tcW w:w="899"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FF0000"/>
                <w:sz w:val="20"/>
                <w:szCs w:val="20"/>
              </w:rPr>
            </w:pPr>
            <w:r>
              <w:rPr>
                <w:color w:val="FF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000000"/>
                <w:sz w:val="20"/>
                <w:szCs w:val="20"/>
              </w:rPr>
            </w:pPr>
            <w:r>
              <w:rPr>
                <w:color w:val="000000"/>
                <w:sz w:val="20"/>
                <w:szCs w:val="20"/>
              </w:rPr>
              <w:t>95</w:t>
            </w:r>
          </w:p>
        </w:tc>
        <w:tc>
          <w:tcPr>
            <w:tcW w:w="899"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000000"/>
                <w:sz w:val="20"/>
                <w:szCs w:val="20"/>
              </w:rPr>
            </w:pPr>
            <w:r>
              <w:rPr>
                <w:color w:val="000000"/>
                <w:sz w:val="20"/>
                <w:szCs w:val="20"/>
              </w:rPr>
              <w:t>97</w:t>
            </w:r>
          </w:p>
        </w:tc>
        <w:tc>
          <w:tcPr>
            <w:tcW w:w="900"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000000"/>
                <w:sz w:val="20"/>
                <w:szCs w:val="20"/>
              </w:rPr>
            </w:pPr>
            <w:r>
              <w:rPr>
                <w:color w:val="000000"/>
                <w:sz w:val="20"/>
                <w:szCs w:val="20"/>
              </w:rPr>
              <w:t>100</w:t>
            </w:r>
          </w:p>
        </w:tc>
      </w:tr>
      <w:tr w:rsidR="00E86EFA" w:rsidTr="00AB5C2F">
        <w:trPr>
          <w:trHeight w:val="30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E86EFA" w:rsidRDefault="00E86EFA" w:rsidP="00E86EFA">
            <w:pPr>
              <w:keepNext/>
              <w:keepLines/>
              <w:rPr>
                <w:color w:val="000000"/>
                <w:sz w:val="20"/>
                <w:szCs w:val="20"/>
              </w:rPr>
            </w:pPr>
            <w:r>
              <w:rPr>
                <w:color w:val="000000"/>
                <w:sz w:val="20"/>
                <w:szCs w:val="20"/>
              </w:rPr>
              <w:t>City B</w:t>
            </w:r>
          </w:p>
        </w:tc>
        <w:tc>
          <w:tcPr>
            <w:tcW w:w="900"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FF0000"/>
                <w:sz w:val="20"/>
                <w:szCs w:val="20"/>
              </w:rPr>
            </w:pPr>
            <w:r>
              <w:rPr>
                <w:color w:val="FF0000"/>
                <w:sz w:val="20"/>
                <w:szCs w:val="20"/>
              </w:rPr>
              <w:t> </w:t>
            </w:r>
          </w:p>
        </w:tc>
        <w:tc>
          <w:tcPr>
            <w:tcW w:w="899"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000000"/>
                <w:sz w:val="20"/>
                <w:szCs w:val="20"/>
              </w:rPr>
            </w:pPr>
            <w:r>
              <w:rPr>
                <w:color w:val="000000"/>
                <w:sz w:val="20"/>
                <w:szCs w:val="20"/>
              </w:rPr>
              <w:t>55</w:t>
            </w:r>
          </w:p>
        </w:tc>
        <w:tc>
          <w:tcPr>
            <w:tcW w:w="900"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000000"/>
                <w:sz w:val="20"/>
                <w:szCs w:val="20"/>
              </w:rPr>
            </w:pPr>
            <w:r>
              <w:rPr>
                <w:color w:val="000000"/>
                <w:sz w:val="20"/>
                <w:szCs w:val="20"/>
              </w:rPr>
              <w:t>60</w:t>
            </w:r>
          </w:p>
        </w:tc>
        <w:tc>
          <w:tcPr>
            <w:tcW w:w="899"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FF0000"/>
                <w:sz w:val="20"/>
                <w:szCs w:val="20"/>
              </w:rPr>
            </w:pPr>
            <w:r>
              <w:rPr>
                <w:color w:val="FF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FF0000"/>
                <w:sz w:val="20"/>
                <w:szCs w:val="20"/>
              </w:rPr>
            </w:pPr>
            <w:r>
              <w:rPr>
                <w:color w:val="FF0000"/>
                <w:sz w:val="20"/>
                <w:szCs w:val="20"/>
              </w:rPr>
              <w:t> </w:t>
            </w:r>
          </w:p>
        </w:tc>
        <w:tc>
          <w:tcPr>
            <w:tcW w:w="899"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000000"/>
                <w:sz w:val="20"/>
                <w:szCs w:val="20"/>
              </w:rPr>
            </w:pPr>
            <w:r>
              <w:rPr>
                <w:color w:val="000000"/>
                <w:sz w:val="20"/>
                <w:szCs w:val="20"/>
              </w:rPr>
              <w:t>85</w:t>
            </w:r>
          </w:p>
        </w:tc>
        <w:tc>
          <w:tcPr>
            <w:tcW w:w="900"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000000"/>
                <w:sz w:val="20"/>
                <w:szCs w:val="20"/>
              </w:rPr>
            </w:pPr>
            <w:r>
              <w:rPr>
                <w:color w:val="000000"/>
                <w:sz w:val="20"/>
                <w:szCs w:val="20"/>
              </w:rPr>
              <w:t>90</w:t>
            </w:r>
          </w:p>
        </w:tc>
        <w:tc>
          <w:tcPr>
            <w:tcW w:w="899"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E86EFA" w:rsidRDefault="00E86EFA" w:rsidP="00E86EFA">
            <w:pPr>
              <w:keepNext/>
              <w:keepLines/>
              <w:jc w:val="right"/>
              <w:rPr>
                <w:rFonts w:ascii="Calibri" w:hAnsi="Calibri" w:cs="Calibri"/>
                <w:color w:val="000000"/>
                <w:sz w:val="22"/>
                <w:szCs w:val="22"/>
              </w:rPr>
            </w:pPr>
            <w:r>
              <w:rPr>
                <w:rFonts w:ascii="Calibri" w:hAnsi="Calibri" w:cs="Calibri"/>
                <w:color w:val="000000"/>
                <w:sz w:val="22"/>
                <w:szCs w:val="22"/>
              </w:rPr>
              <w:t>102</w:t>
            </w:r>
          </w:p>
        </w:tc>
      </w:tr>
      <w:tr w:rsidR="00E86EFA" w:rsidTr="00AB5C2F">
        <w:trPr>
          <w:trHeight w:val="30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E86EFA" w:rsidRDefault="00E86EFA" w:rsidP="00E86EFA">
            <w:pPr>
              <w:keepNext/>
              <w:keepLines/>
              <w:rPr>
                <w:color w:val="000000"/>
                <w:sz w:val="20"/>
                <w:szCs w:val="20"/>
              </w:rPr>
            </w:pPr>
            <w:r>
              <w:rPr>
                <w:color w:val="000000"/>
                <w:sz w:val="20"/>
                <w:szCs w:val="20"/>
              </w:rPr>
              <w:t>City C</w:t>
            </w:r>
          </w:p>
        </w:tc>
        <w:tc>
          <w:tcPr>
            <w:tcW w:w="900"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000000"/>
                <w:sz w:val="20"/>
                <w:szCs w:val="20"/>
              </w:rPr>
            </w:pPr>
            <w:r>
              <w:rPr>
                <w:color w:val="000000"/>
                <w:sz w:val="20"/>
                <w:szCs w:val="20"/>
              </w:rPr>
              <w:t>150</w:t>
            </w:r>
          </w:p>
        </w:tc>
        <w:tc>
          <w:tcPr>
            <w:tcW w:w="899"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000000"/>
                <w:sz w:val="20"/>
                <w:szCs w:val="20"/>
              </w:rPr>
            </w:pPr>
            <w:r>
              <w:rPr>
                <w:color w:val="000000"/>
                <w:sz w:val="20"/>
                <w:szCs w:val="20"/>
              </w:rPr>
              <w:t>154</w:t>
            </w:r>
          </w:p>
        </w:tc>
        <w:tc>
          <w:tcPr>
            <w:tcW w:w="900"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FF0000"/>
                <w:sz w:val="20"/>
                <w:szCs w:val="20"/>
              </w:rPr>
            </w:pPr>
            <w:r>
              <w:rPr>
                <w:color w:val="FF0000"/>
                <w:sz w:val="20"/>
                <w:szCs w:val="20"/>
              </w:rPr>
              <w:t> </w:t>
            </w:r>
          </w:p>
        </w:tc>
        <w:tc>
          <w:tcPr>
            <w:tcW w:w="899"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FF0000"/>
                <w:sz w:val="20"/>
                <w:szCs w:val="20"/>
              </w:rPr>
            </w:pPr>
            <w:r>
              <w:rPr>
                <w:color w:val="FF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000000"/>
                <w:sz w:val="20"/>
                <w:szCs w:val="20"/>
              </w:rPr>
            </w:pPr>
            <w:r>
              <w:rPr>
                <w:color w:val="000000"/>
                <w:sz w:val="20"/>
                <w:szCs w:val="20"/>
              </w:rPr>
              <w:t>174</w:t>
            </w:r>
          </w:p>
        </w:tc>
        <w:tc>
          <w:tcPr>
            <w:tcW w:w="899"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000000"/>
                <w:sz w:val="20"/>
                <w:szCs w:val="20"/>
              </w:rPr>
            </w:pPr>
            <w:r>
              <w:rPr>
                <w:color w:val="000000"/>
                <w:sz w:val="20"/>
                <w:szCs w:val="20"/>
              </w:rPr>
              <w:t>180</w:t>
            </w:r>
          </w:p>
        </w:tc>
        <w:tc>
          <w:tcPr>
            <w:tcW w:w="900"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000000"/>
                <w:sz w:val="20"/>
                <w:szCs w:val="20"/>
              </w:rPr>
            </w:pPr>
            <w:r>
              <w:rPr>
                <w:color w:val="000000"/>
                <w:sz w:val="20"/>
                <w:szCs w:val="20"/>
              </w:rPr>
              <w:t> </w:t>
            </w:r>
          </w:p>
        </w:tc>
        <w:tc>
          <w:tcPr>
            <w:tcW w:w="899"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E86EFA" w:rsidRDefault="00E86EFA" w:rsidP="00E86EFA">
            <w:pPr>
              <w:keepNext/>
              <w:keepLines/>
              <w:rPr>
                <w:rFonts w:ascii="Calibri" w:hAnsi="Calibri" w:cs="Calibri"/>
                <w:color w:val="000000"/>
                <w:sz w:val="22"/>
                <w:szCs w:val="22"/>
              </w:rPr>
            </w:pPr>
            <w:r>
              <w:rPr>
                <w:rFonts w:ascii="Calibri" w:hAnsi="Calibri" w:cs="Calibri"/>
                <w:color w:val="000000"/>
                <w:sz w:val="22"/>
                <w:szCs w:val="22"/>
              </w:rPr>
              <w:t> </w:t>
            </w:r>
          </w:p>
        </w:tc>
      </w:tr>
      <w:tr w:rsidR="00E86EFA" w:rsidTr="00AB5C2F">
        <w:trPr>
          <w:trHeight w:val="30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E86EFA" w:rsidRDefault="00E86EFA" w:rsidP="00E86EFA">
            <w:pPr>
              <w:keepNext/>
              <w:keepLines/>
              <w:rPr>
                <w:color w:val="000000"/>
                <w:sz w:val="20"/>
                <w:szCs w:val="20"/>
              </w:rPr>
            </w:pPr>
            <w:r>
              <w:rPr>
                <w:color w:val="000000"/>
                <w:sz w:val="20"/>
                <w:szCs w:val="20"/>
              </w:rPr>
              <w:t>City D</w:t>
            </w:r>
          </w:p>
        </w:tc>
        <w:tc>
          <w:tcPr>
            <w:tcW w:w="900"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000000"/>
                <w:sz w:val="20"/>
                <w:szCs w:val="20"/>
              </w:rPr>
            </w:pPr>
            <w:r>
              <w:rPr>
                <w:color w:val="000000"/>
                <w:sz w:val="20"/>
                <w:szCs w:val="20"/>
              </w:rPr>
              <w:t>140</w:t>
            </w:r>
          </w:p>
        </w:tc>
        <w:tc>
          <w:tcPr>
            <w:tcW w:w="899"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FF0000"/>
                <w:sz w:val="20"/>
                <w:szCs w:val="20"/>
              </w:rPr>
            </w:pPr>
            <w:r>
              <w:rPr>
                <w:color w:val="FF0000"/>
                <w:sz w:val="20"/>
                <w:szCs w:val="20"/>
              </w:rPr>
              <w:t> </w:t>
            </w:r>
          </w:p>
        </w:tc>
        <w:tc>
          <w:tcPr>
            <w:tcW w:w="899"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000000"/>
                <w:sz w:val="20"/>
                <w:szCs w:val="20"/>
              </w:rPr>
            </w:pPr>
            <w:r>
              <w:rPr>
                <w:color w:val="000000"/>
                <w:sz w:val="20"/>
                <w:szCs w:val="20"/>
              </w:rPr>
              <w:t>115</w:t>
            </w:r>
          </w:p>
        </w:tc>
        <w:tc>
          <w:tcPr>
            <w:tcW w:w="900"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000000"/>
                <w:sz w:val="20"/>
                <w:szCs w:val="20"/>
              </w:rPr>
            </w:pPr>
            <w:r>
              <w:rPr>
                <w:color w:val="000000"/>
                <w:sz w:val="20"/>
                <w:szCs w:val="20"/>
              </w:rPr>
              <w:t>120</w:t>
            </w:r>
          </w:p>
        </w:tc>
        <w:tc>
          <w:tcPr>
            <w:tcW w:w="899"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000000"/>
                <w:sz w:val="20"/>
                <w:szCs w:val="20"/>
              </w:rPr>
            </w:pPr>
            <w:r>
              <w:rPr>
                <w:color w:val="000000"/>
                <w:sz w:val="20"/>
                <w:szCs w:val="20"/>
              </w:rPr>
              <w:t>125</w:t>
            </w:r>
          </w:p>
        </w:tc>
        <w:tc>
          <w:tcPr>
            <w:tcW w:w="900"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000000"/>
                <w:sz w:val="20"/>
                <w:szCs w:val="20"/>
              </w:rPr>
            </w:pPr>
            <w:r>
              <w:rPr>
                <w:color w:val="000000"/>
                <w:sz w:val="20"/>
                <w:szCs w:val="20"/>
              </w:rPr>
              <w:t>127</w:t>
            </w:r>
          </w:p>
        </w:tc>
        <w:tc>
          <w:tcPr>
            <w:tcW w:w="899" w:type="dxa"/>
            <w:tcBorders>
              <w:top w:val="nil"/>
              <w:left w:val="nil"/>
              <w:bottom w:val="single" w:sz="4" w:space="0" w:color="auto"/>
              <w:right w:val="single" w:sz="4" w:space="0" w:color="auto"/>
            </w:tcBorders>
            <w:shd w:val="clear" w:color="auto" w:fill="auto"/>
            <w:vAlign w:val="center"/>
            <w:hideMark/>
          </w:tcPr>
          <w:p w:rsidR="00E86EFA" w:rsidRDefault="00E86EFA" w:rsidP="00E86EFA">
            <w:pPr>
              <w:keepNext/>
              <w:keepLines/>
              <w:jc w:val="right"/>
              <w:rPr>
                <w:color w:val="000000"/>
                <w:sz w:val="20"/>
                <w:szCs w:val="20"/>
              </w:rPr>
            </w:pPr>
            <w:r>
              <w:rPr>
                <w:color w:val="000000"/>
                <w:sz w:val="20"/>
                <w:szCs w:val="20"/>
              </w:rPr>
              <w:t>130</w:t>
            </w:r>
          </w:p>
        </w:tc>
        <w:tc>
          <w:tcPr>
            <w:tcW w:w="900" w:type="dxa"/>
            <w:tcBorders>
              <w:top w:val="nil"/>
              <w:left w:val="nil"/>
              <w:bottom w:val="single" w:sz="4" w:space="0" w:color="auto"/>
              <w:right w:val="single" w:sz="4" w:space="0" w:color="auto"/>
            </w:tcBorders>
            <w:shd w:val="clear" w:color="auto" w:fill="auto"/>
            <w:noWrap/>
            <w:vAlign w:val="bottom"/>
            <w:hideMark/>
          </w:tcPr>
          <w:p w:rsidR="00E86EFA" w:rsidRDefault="00E86EFA" w:rsidP="00E86EFA">
            <w:pPr>
              <w:keepNext/>
              <w:keepLines/>
              <w:jc w:val="right"/>
              <w:rPr>
                <w:rFonts w:ascii="Calibri" w:hAnsi="Calibri" w:cs="Calibri"/>
                <w:color w:val="000000"/>
                <w:sz w:val="22"/>
                <w:szCs w:val="22"/>
              </w:rPr>
            </w:pPr>
            <w:r>
              <w:rPr>
                <w:rFonts w:ascii="Calibri" w:hAnsi="Calibri" w:cs="Calibri"/>
                <w:color w:val="000000"/>
                <w:sz w:val="22"/>
                <w:szCs w:val="22"/>
              </w:rPr>
              <w:t>135</w:t>
            </w:r>
          </w:p>
        </w:tc>
      </w:tr>
    </w:tbl>
    <w:p w:rsidR="008D290B" w:rsidRDefault="008D290B" w:rsidP="008D290B">
      <w:r>
        <w:t xml:space="preserve"> </w:t>
      </w:r>
    </w:p>
    <w:p w:rsidR="008D290B" w:rsidRDefault="008D290B" w:rsidP="008D290B">
      <w:pPr>
        <w:pStyle w:val="Pa0"/>
        <w:keepNext/>
        <w:keepLines/>
        <w:spacing w:before="180" w:line="360" w:lineRule="auto"/>
        <w:jc w:val="both"/>
        <w:rPr>
          <w:rFonts w:ascii="Times New Roman" w:hAnsi="Times New Roman"/>
          <w:b/>
          <w:sz w:val="22"/>
          <w:szCs w:val="22"/>
        </w:rPr>
      </w:pPr>
      <w:r w:rsidRPr="00573B48">
        <w:rPr>
          <w:rFonts w:ascii="Times New Roman" w:hAnsi="Times New Roman"/>
          <w:b/>
          <w:sz w:val="22"/>
          <w:szCs w:val="22"/>
        </w:rPr>
        <w:lastRenderedPageBreak/>
        <w:t xml:space="preserve">Hypothetical sample:  </w:t>
      </w:r>
      <w:r>
        <w:rPr>
          <w:rFonts w:ascii="Times New Roman" w:hAnsi="Times New Roman"/>
          <w:b/>
          <w:sz w:val="22"/>
          <w:szCs w:val="22"/>
        </w:rPr>
        <w:t>calculation of growth rates</w:t>
      </w:r>
      <w:r w:rsidRPr="00573B48">
        <w:rPr>
          <w:rFonts w:ascii="Times New Roman" w:hAnsi="Times New Roman"/>
          <w:b/>
          <w:sz w:val="22"/>
          <w:szCs w:val="22"/>
        </w:rPr>
        <w:t xml:space="preserve"> </w:t>
      </w:r>
      <w:r>
        <w:rPr>
          <w:rFonts w:ascii="Times New Roman" w:hAnsi="Times New Roman"/>
          <w:b/>
          <w:sz w:val="22"/>
          <w:szCs w:val="22"/>
        </w:rPr>
        <w:t>of paired averages</w:t>
      </w:r>
    </w:p>
    <w:tbl>
      <w:tblPr>
        <w:tblW w:w="7700" w:type="dxa"/>
        <w:tblInd w:w="113" w:type="dxa"/>
        <w:tblLook w:val="04A0"/>
      </w:tblPr>
      <w:tblGrid>
        <w:gridCol w:w="1700"/>
        <w:gridCol w:w="1000"/>
        <w:gridCol w:w="1000"/>
        <w:gridCol w:w="1000"/>
        <w:gridCol w:w="1000"/>
        <w:gridCol w:w="1000"/>
        <w:gridCol w:w="1000"/>
      </w:tblGrid>
      <w:tr w:rsidR="008D290B" w:rsidTr="00AB5C2F">
        <w:trPr>
          <w:trHeight w:val="51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90B" w:rsidRPr="00D662FD" w:rsidRDefault="008D290B" w:rsidP="00AB5C2F">
            <w:pPr>
              <w:keepNext/>
              <w:keepLines/>
              <w:rPr>
                <w:color w:val="000000"/>
                <w:sz w:val="16"/>
                <w:szCs w:val="16"/>
                <w:lang w:eastAsia="zh-CN"/>
              </w:rPr>
            </w:pPr>
            <w:r w:rsidRPr="00D662FD">
              <w:rPr>
                <w:color w:val="000000"/>
                <w:sz w:val="16"/>
                <w:szCs w:val="16"/>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rPr>
                <w:color w:val="000000"/>
                <w:sz w:val="16"/>
                <w:szCs w:val="16"/>
              </w:rPr>
            </w:pPr>
            <w:r w:rsidRPr="00D662FD">
              <w:rPr>
                <w:color w:val="000000"/>
                <w:sz w:val="16"/>
                <w:szCs w:val="16"/>
              </w:rPr>
              <w:t>City A</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rPr>
                <w:color w:val="000000"/>
                <w:sz w:val="16"/>
                <w:szCs w:val="16"/>
              </w:rPr>
            </w:pPr>
            <w:r w:rsidRPr="00D662FD">
              <w:rPr>
                <w:color w:val="000000"/>
                <w:sz w:val="16"/>
                <w:szCs w:val="16"/>
              </w:rPr>
              <w:t>City B</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rPr>
                <w:color w:val="000000"/>
                <w:sz w:val="16"/>
                <w:szCs w:val="16"/>
              </w:rPr>
            </w:pPr>
            <w:r w:rsidRPr="00D662FD">
              <w:rPr>
                <w:color w:val="000000"/>
                <w:sz w:val="16"/>
                <w:szCs w:val="16"/>
              </w:rPr>
              <w:t>City C</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rPr>
                <w:color w:val="000000"/>
                <w:sz w:val="16"/>
                <w:szCs w:val="16"/>
              </w:rPr>
            </w:pPr>
            <w:r w:rsidRPr="00D662FD">
              <w:rPr>
                <w:color w:val="000000"/>
                <w:sz w:val="16"/>
                <w:szCs w:val="16"/>
              </w:rPr>
              <w:t>City D</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rPr>
                <w:color w:val="000000"/>
                <w:sz w:val="16"/>
                <w:szCs w:val="16"/>
              </w:rPr>
            </w:pPr>
            <w:r w:rsidRPr="00B62326">
              <w:rPr>
                <w:color w:val="000000"/>
                <w:sz w:val="16"/>
                <w:szCs w:val="16"/>
              </w:rPr>
              <w:t>Averages</w:t>
            </w:r>
            <w:r>
              <w:rPr>
                <w:color w:val="000000"/>
                <w:sz w:val="16"/>
                <w:szCs w:val="16"/>
              </w:rPr>
              <w:t xml:space="preserve"> (of data in reporting and subsequent year)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rPr>
                <w:color w:val="000000"/>
                <w:sz w:val="16"/>
                <w:szCs w:val="16"/>
              </w:rPr>
            </w:pPr>
            <w:r w:rsidRPr="00D662FD">
              <w:rPr>
                <w:color w:val="000000"/>
                <w:sz w:val="16"/>
                <w:szCs w:val="16"/>
              </w:rPr>
              <w:t>Growth rates</w:t>
            </w:r>
          </w:p>
        </w:tc>
      </w:tr>
      <w:tr w:rsidR="008D290B" w:rsidTr="00AB5C2F">
        <w:trPr>
          <w:trHeight w:val="300"/>
        </w:trPr>
        <w:tc>
          <w:tcPr>
            <w:tcW w:w="1700" w:type="dxa"/>
            <w:tcBorders>
              <w:top w:val="nil"/>
              <w:left w:val="single" w:sz="4" w:space="0" w:color="auto"/>
              <w:bottom w:val="single" w:sz="4" w:space="0" w:color="auto"/>
              <w:right w:val="single" w:sz="4" w:space="0" w:color="auto"/>
            </w:tcBorders>
            <w:shd w:val="clear" w:color="000000" w:fill="FFFF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201</w:t>
            </w:r>
            <w:r w:rsidR="00B95330">
              <w:rPr>
                <w:color w:val="000000"/>
                <w:sz w:val="16"/>
                <w:szCs w:val="16"/>
              </w:rPr>
              <w:t>4</w:t>
            </w:r>
          </w:p>
        </w:tc>
        <w:tc>
          <w:tcPr>
            <w:tcW w:w="1000" w:type="dxa"/>
            <w:tcBorders>
              <w:top w:val="nil"/>
              <w:left w:val="nil"/>
              <w:bottom w:val="single" w:sz="4" w:space="0" w:color="auto"/>
              <w:right w:val="single" w:sz="4" w:space="0" w:color="auto"/>
            </w:tcBorders>
            <w:shd w:val="clear" w:color="000000" w:fill="FFFF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80</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FF0000"/>
                <w:sz w:val="16"/>
                <w:szCs w:val="16"/>
              </w:rPr>
            </w:pPr>
            <w:r w:rsidRPr="00D662FD">
              <w:rPr>
                <w:color w:val="FF0000"/>
                <w:sz w:val="16"/>
                <w:szCs w:val="16"/>
              </w:rPr>
              <w:t> </w:t>
            </w:r>
          </w:p>
        </w:tc>
        <w:tc>
          <w:tcPr>
            <w:tcW w:w="1000" w:type="dxa"/>
            <w:tcBorders>
              <w:top w:val="nil"/>
              <w:left w:val="nil"/>
              <w:bottom w:val="single" w:sz="4" w:space="0" w:color="auto"/>
              <w:right w:val="single" w:sz="4" w:space="0" w:color="auto"/>
            </w:tcBorders>
            <w:shd w:val="clear" w:color="000000" w:fill="FFFF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150</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000000"/>
                <w:sz w:val="16"/>
                <w:szCs w:val="16"/>
              </w:rPr>
            </w:pPr>
            <w:r w:rsidRPr="00D662FD">
              <w:rPr>
                <w:color w:val="000000"/>
                <w:sz w:val="16"/>
                <w:szCs w:val="16"/>
              </w:rPr>
              <w:t>140</w:t>
            </w:r>
          </w:p>
        </w:tc>
        <w:tc>
          <w:tcPr>
            <w:tcW w:w="1000" w:type="dxa"/>
            <w:tcBorders>
              <w:top w:val="nil"/>
              <w:left w:val="nil"/>
              <w:bottom w:val="single" w:sz="4" w:space="0" w:color="auto"/>
              <w:right w:val="single" w:sz="4" w:space="0" w:color="auto"/>
            </w:tcBorders>
            <w:shd w:val="clear" w:color="000000" w:fill="FFFF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xml:space="preserve">         115.0 </w:t>
            </w:r>
          </w:p>
        </w:tc>
        <w:tc>
          <w:tcPr>
            <w:tcW w:w="1000" w:type="dxa"/>
            <w:tcBorders>
              <w:top w:val="nil"/>
              <w:left w:val="nil"/>
              <w:bottom w:val="single" w:sz="4" w:space="0" w:color="auto"/>
              <w:right w:val="single" w:sz="4" w:space="0" w:color="auto"/>
            </w:tcBorders>
            <w:shd w:val="clear" w:color="000000" w:fill="FFFF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w:t>
            </w:r>
          </w:p>
        </w:tc>
      </w:tr>
      <w:tr w:rsidR="008D290B" w:rsidTr="00AB5C2F">
        <w:trPr>
          <w:trHeight w:val="300"/>
        </w:trPr>
        <w:tc>
          <w:tcPr>
            <w:tcW w:w="1700" w:type="dxa"/>
            <w:tcBorders>
              <w:top w:val="nil"/>
              <w:left w:val="single" w:sz="4" w:space="0" w:color="auto"/>
              <w:bottom w:val="single" w:sz="4" w:space="0" w:color="auto"/>
              <w:right w:val="single" w:sz="4" w:space="0" w:color="auto"/>
            </w:tcBorders>
            <w:shd w:val="clear" w:color="000000" w:fill="FFFF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201</w:t>
            </w:r>
            <w:r w:rsidR="00B95330">
              <w:rPr>
                <w:color w:val="000000"/>
                <w:sz w:val="16"/>
                <w:szCs w:val="16"/>
              </w:rPr>
              <w:t>5</w:t>
            </w:r>
          </w:p>
        </w:tc>
        <w:tc>
          <w:tcPr>
            <w:tcW w:w="1000" w:type="dxa"/>
            <w:tcBorders>
              <w:top w:val="nil"/>
              <w:left w:val="nil"/>
              <w:bottom w:val="single" w:sz="4" w:space="0" w:color="auto"/>
              <w:right w:val="single" w:sz="4" w:space="0" w:color="auto"/>
            </w:tcBorders>
            <w:shd w:val="clear" w:color="000000" w:fill="FFFF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78</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000000"/>
                <w:sz w:val="16"/>
                <w:szCs w:val="16"/>
              </w:rPr>
            </w:pPr>
            <w:r w:rsidRPr="00D662FD">
              <w:rPr>
                <w:color w:val="000000"/>
                <w:sz w:val="16"/>
                <w:szCs w:val="16"/>
              </w:rPr>
              <w:t>55</w:t>
            </w:r>
          </w:p>
        </w:tc>
        <w:tc>
          <w:tcPr>
            <w:tcW w:w="1000" w:type="dxa"/>
            <w:tcBorders>
              <w:top w:val="nil"/>
              <w:left w:val="nil"/>
              <w:bottom w:val="single" w:sz="4" w:space="0" w:color="auto"/>
              <w:right w:val="single" w:sz="4" w:space="0" w:color="auto"/>
            </w:tcBorders>
            <w:shd w:val="clear" w:color="000000" w:fill="FFFF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154</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000000"/>
                <w:sz w:val="16"/>
                <w:szCs w:val="16"/>
              </w:rPr>
            </w:pPr>
            <w:r w:rsidRPr="00D662FD">
              <w:rPr>
                <w:color w:val="000000"/>
                <w:sz w:val="16"/>
                <w:szCs w:val="16"/>
              </w:rPr>
              <w:t> </w:t>
            </w:r>
          </w:p>
        </w:tc>
        <w:tc>
          <w:tcPr>
            <w:tcW w:w="1000" w:type="dxa"/>
            <w:tcBorders>
              <w:top w:val="nil"/>
              <w:left w:val="nil"/>
              <w:bottom w:val="single" w:sz="4" w:space="0" w:color="auto"/>
              <w:right w:val="single" w:sz="4" w:space="0" w:color="auto"/>
            </w:tcBorders>
            <w:shd w:val="clear" w:color="000000" w:fill="FFFF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xml:space="preserve">         116.0 </w:t>
            </w:r>
          </w:p>
        </w:tc>
        <w:tc>
          <w:tcPr>
            <w:tcW w:w="1000" w:type="dxa"/>
            <w:tcBorders>
              <w:top w:val="nil"/>
              <w:left w:val="nil"/>
              <w:bottom w:val="single" w:sz="4" w:space="0" w:color="auto"/>
              <w:right w:val="single" w:sz="4" w:space="0" w:color="auto"/>
            </w:tcBorders>
            <w:shd w:val="clear" w:color="000000" w:fill="FFFF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xml:space="preserve">         1.009 </w:t>
            </w:r>
          </w:p>
        </w:tc>
      </w:tr>
      <w:tr w:rsidR="008D290B" w:rsidTr="00AB5C2F">
        <w:trPr>
          <w:trHeight w:val="300"/>
        </w:trPr>
        <w:tc>
          <w:tcPr>
            <w:tcW w:w="1700" w:type="dxa"/>
            <w:tcBorders>
              <w:top w:val="nil"/>
              <w:left w:val="single" w:sz="4" w:space="0" w:color="auto"/>
              <w:bottom w:val="single" w:sz="4" w:space="0" w:color="auto"/>
              <w:right w:val="single" w:sz="4" w:space="0" w:color="auto"/>
            </w:tcBorders>
            <w:shd w:val="clear" w:color="000000" w:fill="FFC0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201</w:t>
            </w:r>
            <w:r w:rsidR="00B95330">
              <w:rPr>
                <w:color w:val="000000"/>
                <w:sz w:val="16"/>
                <w:szCs w:val="16"/>
              </w:rPr>
              <w:t>5</w:t>
            </w:r>
          </w:p>
        </w:tc>
        <w:tc>
          <w:tcPr>
            <w:tcW w:w="1000" w:type="dxa"/>
            <w:tcBorders>
              <w:top w:val="nil"/>
              <w:left w:val="nil"/>
              <w:bottom w:val="single" w:sz="4" w:space="0" w:color="auto"/>
              <w:right w:val="single" w:sz="4" w:space="0" w:color="auto"/>
            </w:tcBorders>
            <w:shd w:val="clear" w:color="000000" w:fill="FFC0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78</w:t>
            </w:r>
          </w:p>
        </w:tc>
        <w:tc>
          <w:tcPr>
            <w:tcW w:w="1000" w:type="dxa"/>
            <w:tcBorders>
              <w:top w:val="nil"/>
              <w:left w:val="nil"/>
              <w:bottom w:val="single" w:sz="4" w:space="0" w:color="auto"/>
              <w:right w:val="single" w:sz="4" w:space="0" w:color="auto"/>
            </w:tcBorders>
            <w:shd w:val="clear" w:color="000000" w:fill="FFC0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55</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000000"/>
                <w:sz w:val="16"/>
                <w:szCs w:val="16"/>
              </w:rPr>
            </w:pPr>
            <w:r w:rsidRPr="00D662FD">
              <w:rPr>
                <w:color w:val="000000"/>
                <w:sz w:val="16"/>
                <w:szCs w:val="16"/>
              </w:rPr>
              <w:t>154</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000000"/>
                <w:sz w:val="16"/>
                <w:szCs w:val="16"/>
              </w:rPr>
            </w:pPr>
            <w:r w:rsidRPr="00D662FD">
              <w:rPr>
                <w:color w:val="000000"/>
                <w:sz w:val="16"/>
                <w:szCs w:val="16"/>
              </w:rPr>
              <w:t> </w:t>
            </w:r>
          </w:p>
        </w:tc>
        <w:tc>
          <w:tcPr>
            <w:tcW w:w="1000" w:type="dxa"/>
            <w:tcBorders>
              <w:top w:val="nil"/>
              <w:left w:val="nil"/>
              <w:bottom w:val="single" w:sz="4" w:space="0" w:color="auto"/>
              <w:right w:val="single" w:sz="4" w:space="0" w:color="auto"/>
            </w:tcBorders>
            <w:shd w:val="clear" w:color="000000" w:fill="FFC0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xml:space="preserve">           66.5 </w:t>
            </w:r>
          </w:p>
        </w:tc>
        <w:tc>
          <w:tcPr>
            <w:tcW w:w="1000" w:type="dxa"/>
            <w:tcBorders>
              <w:top w:val="nil"/>
              <w:left w:val="nil"/>
              <w:bottom w:val="single" w:sz="4" w:space="0" w:color="auto"/>
              <w:right w:val="single" w:sz="4" w:space="0" w:color="auto"/>
            </w:tcBorders>
            <w:shd w:val="clear" w:color="000000" w:fill="FFC0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w:t>
            </w:r>
          </w:p>
        </w:tc>
      </w:tr>
      <w:tr w:rsidR="008D290B" w:rsidTr="00AB5C2F">
        <w:trPr>
          <w:trHeight w:val="300"/>
        </w:trPr>
        <w:tc>
          <w:tcPr>
            <w:tcW w:w="1700" w:type="dxa"/>
            <w:tcBorders>
              <w:top w:val="nil"/>
              <w:left w:val="single" w:sz="4" w:space="0" w:color="auto"/>
              <w:bottom w:val="single" w:sz="4" w:space="0" w:color="auto"/>
              <w:right w:val="single" w:sz="4" w:space="0" w:color="auto"/>
            </w:tcBorders>
            <w:shd w:val="clear" w:color="000000" w:fill="FFC0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201</w:t>
            </w:r>
            <w:r w:rsidR="00B95330">
              <w:rPr>
                <w:color w:val="000000"/>
                <w:sz w:val="16"/>
                <w:szCs w:val="16"/>
              </w:rPr>
              <w:t>6</w:t>
            </w:r>
          </w:p>
        </w:tc>
        <w:tc>
          <w:tcPr>
            <w:tcW w:w="1000" w:type="dxa"/>
            <w:tcBorders>
              <w:top w:val="nil"/>
              <w:left w:val="nil"/>
              <w:bottom w:val="single" w:sz="4" w:space="0" w:color="auto"/>
              <w:right w:val="single" w:sz="4" w:space="0" w:color="auto"/>
            </w:tcBorders>
            <w:shd w:val="clear" w:color="000000" w:fill="FFC0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75</w:t>
            </w:r>
          </w:p>
        </w:tc>
        <w:tc>
          <w:tcPr>
            <w:tcW w:w="1000" w:type="dxa"/>
            <w:tcBorders>
              <w:top w:val="nil"/>
              <w:left w:val="nil"/>
              <w:bottom w:val="single" w:sz="4" w:space="0" w:color="auto"/>
              <w:right w:val="single" w:sz="4" w:space="0" w:color="auto"/>
            </w:tcBorders>
            <w:shd w:val="clear" w:color="000000" w:fill="FFC0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60</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FF0000"/>
                <w:sz w:val="16"/>
                <w:szCs w:val="16"/>
              </w:rPr>
            </w:pPr>
            <w:r w:rsidRPr="00D662FD">
              <w:rPr>
                <w:color w:val="FF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FF0000"/>
                <w:sz w:val="16"/>
                <w:szCs w:val="16"/>
              </w:rPr>
            </w:pPr>
            <w:r w:rsidRPr="00D662FD">
              <w:rPr>
                <w:color w:val="FF0000"/>
                <w:sz w:val="16"/>
                <w:szCs w:val="16"/>
              </w:rPr>
              <w:t> </w:t>
            </w:r>
          </w:p>
        </w:tc>
        <w:tc>
          <w:tcPr>
            <w:tcW w:w="1000" w:type="dxa"/>
            <w:tcBorders>
              <w:top w:val="nil"/>
              <w:left w:val="nil"/>
              <w:bottom w:val="single" w:sz="4" w:space="0" w:color="auto"/>
              <w:right w:val="single" w:sz="4" w:space="0" w:color="auto"/>
            </w:tcBorders>
            <w:shd w:val="clear" w:color="000000" w:fill="FFC0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xml:space="preserve">           67.5 </w:t>
            </w:r>
          </w:p>
        </w:tc>
        <w:tc>
          <w:tcPr>
            <w:tcW w:w="1000" w:type="dxa"/>
            <w:tcBorders>
              <w:top w:val="nil"/>
              <w:left w:val="nil"/>
              <w:bottom w:val="single" w:sz="4" w:space="0" w:color="auto"/>
              <w:right w:val="single" w:sz="4" w:space="0" w:color="auto"/>
            </w:tcBorders>
            <w:shd w:val="clear" w:color="000000" w:fill="FFC0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xml:space="preserve">         1.015 </w:t>
            </w:r>
          </w:p>
        </w:tc>
      </w:tr>
      <w:tr w:rsidR="008D290B" w:rsidTr="00AB5C2F">
        <w:trPr>
          <w:trHeight w:val="300"/>
        </w:trPr>
        <w:tc>
          <w:tcPr>
            <w:tcW w:w="1700" w:type="dxa"/>
            <w:tcBorders>
              <w:top w:val="nil"/>
              <w:left w:val="single" w:sz="4" w:space="0" w:color="auto"/>
              <w:bottom w:val="single" w:sz="4" w:space="0" w:color="auto"/>
              <w:right w:val="single" w:sz="4" w:space="0" w:color="auto"/>
            </w:tcBorders>
            <w:shd w:val="clear" w:color="000000" w:fill="FFFF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201</w:t>
            </w:r>
            <w:r w:rsidR="00B95330">
              <w:rPr>
                <w:color w:val="000000"/>
                <w:sz w:val="16"/>
                <w:szCs w:val="16"/>
              </w:rPr>
              <w:t>6</w:t>
            </w:r>
          </w:p>
        </w:tc>
        <w:tc>
          <w:tcPr>
            <w:tcW w:w="1000" w:type="dxa"/>
            <w:tcBorders>
              <w:top w:val="nil"/>
              <w:left w:val="nil"/>
              <w:bottom w:val="single" w:sz="4" w:space="0" w:color="auto"/>
              <w:right w:val="single" w:sz="4" w:space="0" w:color="auto"/>
            </w:tcBorders>
            <w:shd w:val="clear" w:color="000000" w:fill="FFFF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75</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000000"/>
                <w:sz w:val="16"/>
                <w:szCs w:val="16"/>
              </w:rPr>
            </w:pPr>
            <w:r w:rsidRPr="00D662FD">
              <w:rPr>
                <w:color w:val="000000"/>
                <w:sz w:val="16"/>
                <w:szCs w:val="16"/>
              </w:rPr>
              <w:t>60</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FF0000"/>
                <w:sz w:val="16"/>
                <w:szCs w:val="16"/>
              </w:rPr>
            </w:pPr>
            <w:r w:rsidRPr="00D662FD">
              <w:rPr>
                <w:color w:val="FF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FF0000"/>
                <w:sz w:val="16"/>
                <w:szCs w:val="16"/>
              </w:rPr>
            </w:pPr>
            <w:r w:rsidRPr="00D662FD">
              <w:rPr>
                <w:color w:val="FF0000"/>
                <w:sz w:val="16"/>
                <w:szCs w:val="16"/>
              </w:rPr>
              <w:t> </w:t>
            </w:r>
          </w:p>
        </w:tc>
        <w:tc>
          <w:tcPr>
            <w:tcW w:w="1000" w:type="dxa"/>
            <w:tcBorders>
              <w:top w:val="nil"/>
              <w:left w:val="nil"/>
              <w:bottom w:val="single" w:sz="4" w:space="0" w:color="auto"/>
              <w:right w:val="single" w:sz="4" w:space="0" w:color="auto"/>
            </w:tcBorders>
            <w:shd w:val="clear" w:color="000000" w:fill="FFFF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xml:space="preserve">           75.0 </w:t>
            </w:r>
          </w:p>
        </w:tc>
        <w:tc>
          <w:tcPr>
            <w:tcW w:w="1000" w:type="dxa"/>
            <w:tcBorders>
              <w:top w:val="nil"/>
              <w:left w:val="nil"/>
              <w:bottom w:val="single" w:sz="4" w:space="0" w:color="auto"/>
              <w:right w:val="single" w:sz="4" w:space="0" w:color="auto"/>
            </w:tcBorders>
            <w:shd w:val="clear" w:color="000000" w:fill="FFFF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w:t>
            </w:r>
          </w:p>
        </w:tc>
      </w:tr>
      <w:tr w:rsidR="008D290B" w:rsidTr="00AB5C2F">
        <w:trPr>
          <w:trHeight w:val="300"/>
        </w:trPr>
        <w:tc>
          <w:tcPr>
            <w:tcW w:w="1700" w:type="dxa"/>
            <w:tcBorders>
              <w:top w:val="nil"/>
              <w:left w:val="single" w:sz="4" w:space="0" w:color="auto"/>
              <w:bottom w:val="single" w:sz="4" w:space="0" w:color="auto"/>
              <w:right w:val="single" w:sz="4" w:space="0" w:color="auto"/>
            </w:tcBorders>
            <w:shd w:val="clear" w:color="000000" w:fill="FFFF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201</w:t>
            </w:r>
            <w:r w:rsidR="00B95330">
              <w:rPr>
                <w:color w:val="000000"/>
                <w:sz w:val="16"/>
                <w:szCs w:val="16"/>
              </w:rPr>
              <w:t>7</w:t>
            </w:r>
          </w:p>
        </w:tc>
        <w:tc>
          <w:tcPr>
            <w:tcW w:w="1000" w:type="dxa"/>
            <w:tcBorders>
              <w:top w:val="nil"/>
              <w:left w:val="nil"/>
              <w:bottom w:val="single" w:sz="4" w:space="0" w:color="auto"/>
              <w:right w:val="single" w:sz="4" w:space="0" w:color="auto"/>
            </w:tcBorders>
            <w:shd w:val="clear" w:color="000000" w:fill="FFFF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80</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FF0000"/>
                <w:sz w:val="16"/>
                <w:szCs w:val="16"/>
              </w:rPr>
            </w:pPr>
            <w:r w:rsidRPr="00D662FD">
              <w:rPr>
                <w:color w:val="FF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FF0000"/>
                <w:sz w:val="16"/>
                <w:szCs w:val="16"/>
              </w:rPr>
            </w:pPr>
            <w:r w:rsidRPr="00D662FD">
              <w:rPr>
                <w:color w:val="FF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000000"/>
                <w:sz w:val="16"/>
                <w:szCs w:val="16"/>
              </w:rPr>
            </w:pPr>
            <w:r w:rsidRPr="00D662FD">
              <w:rPr>
                <w:color w:val="000000"/>
                <w:sz w:val="16"/>
                <w:szCs w:val="16"/>
              </w:rPr>
              <w:t>115</w:t>
            </w:r>
          </w:p>
        </w:tc>
        <w:tc>
          <w:tcPr>
            <w:tcW w:w="1000" w:type="dxa"/>
            <w:tcBorders>
              <w:top w:val="nil"/>
              <w:left w:val="nil"/>
              <w:bottom w:val="single" w:sz="4" w:space="0" w:color="auto"/>
              <w:right w:val="single" w:sz="4" w:space="0" w:color="auto"/>
            </w:tcBorders>
            <w:shd w:val="clear" w:color="000000" w:fill="FFFF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xml:space="preserve">           80.0 </w:t>
            </w:r>
          </w:p>
        </w:tc>
        <w:tc>
          <w:tcPr>
            <w:tcW w:w="1000" w:type="dxa"/>
            <w:tcBorders>
              <w:top w:val="nil"/>
              <w:left w:val="nil"/>
              <w:bottom w:val="single" w:sz="4" w:space="0" w:color="auto"/>
              <w:right w:val="single" w:sz="4" w:space="0" w:color="auto"/>
            </w:tcBorders>
            <w:shd w:val="clear" w:color="000000" w:fill="FFFF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xml:space="preserve">         1.067 </w:t>
            </w:r>
          </w:p>
        </w:tc>
      </w:tr>
      <w:tr w:rsidR="008D290B" w:rsidTr="00AB5C2F">
        <w:trPr>
          <w:trHeight w:val="300"/>
        </w:trPr>
        <w:tc>
          <w:tcPr>
            <w:tcW w:w="1700" w:type="dxa"/>
            <w:tcBorders>
              <w:top w:val="nil"/>
              <w:left w:val="single" w:sz="4" w:space="0" w:color="auto"/>
              <w:bottom w:val="single" w:sz="4" w:space="0" w:color="auto"/>
              <w:right w:val="single" w:sz="4" w:space="0" w:color="auto"/>
            </w:tcBorders>
            <w:shd w:val="clear" w:color="000000" w:fill="FFC0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201</w:t>
            </w:r>
            <w:r w:rsidR="00A14E08">
              <w:rPr>
                <w:color w:val="000000"/>
                <w:sz w:val="16"/>
                <w:szCs w:val="16"/>
              </w:rPr>
              <w:t>7</w:t>
            </w:r>
          </w:p>
        </w:tc>
        <w:tc>
          <w:tcPr>
            <w:tcW w:w="1000" w:type="dxa"/>
            <w:tcBorders>
              <w:top w:val="nil"/>
              <w:left w:val="nil"/>
              <w:bottom w:val="single" w:sz="4" w:space="0" w:color="auto"/>
              <w:right w:val="single" w:sz="4" w:space="0" w:color="auto"/>
            </w:tcBorders>
            <w:shd w:val="clear" w:color="000000" w:fill="FFC0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80</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FF0000"/>
                <w:sz w:val="16"/>
                <w:szCs w:val="16"/>
              </w:rPr>
            </w:pPr>
            <w:r w:rsidRPr="00D662FD">
              <w:rPr>
                <w:color w:val="FF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FF0000"/>
                <w:sz w:val="16"/>
                <w:szCs w:val="16"/>
              </w:rPr>
            </w:pPr>
            <w:r w:rsidRPr="00D662FD">
              <w:rPr>
                <w:color w:val="FF0000"/>
                <w:sz w:val="16"/>
                <w:szCs w:val="16"/>
              </w:rPr>
              <w:t> </w:t>
            </w:r>
          </w:p>
        </w:tc>
        <w:tc>
          <w:tcPr>
            <w:tcW w:w="1000" w:type="dxa"/>
            <w:tcBorders>
              <w:top w:val="nil"/>
              <w:left w:val="nil"/>
              <w:bottom w:val="single" w:sz="4" w:space="0" w:color="auto"/>
              <w:right w:val="single" w:sz="4" w:space="0" w:color="auto"/>
            </w:tcBorders>
            <w:shd w:val="clear" w:color="000000" w:fill="FFC0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115</w:t>
            </w:r>
          </w:p>
        </w:tc>
        <w:tc>
          <w:tcPr>
            <w:tcW w:w="1000" w:type="dxa"/>
            <w:tcBorders>
              <w:top w:val="nil"/>
              <w:left w:val="nil"/>
              <w:bottom w:val="single" w:sz="4" w:space="0" w:color="auto"/>
              <w:right w:val="single" w:sz="4" w:space="0" w:color="auto"/>
            </w:tcBorders>
            <w:shd w:val="clear" w:color="000000" w:fill="FFC0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xml:space="preserve">           97.5 </w:t>
            </w:r>
          </w:p>
        </w:tc>
        <w:tc>
          <w:tcPr>
            <w:tcW w:w="1000" w:type="dxa"/>
            <w:tcBorders>
              <w:top w:val="nil"/>
              <w:left w:val="nil"/>
              <w:bottom w:val="single" w:sz="4" w:space="0" w:color="auto"/>
              <w:right w:val="single" w:sz="4" w:space="0" w:color="auto"/>
            </w:tcBorders>
            <w:shd w:val="clear" w:color="000000" w:fill="FFC0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w:t>
            </w:r>
          </w:p>
        </w:tc>
      </w:tr>
      <w:tr w:rsidR="008D290B" w:rsidTr="00AB5C2F">
        <w:trPr>
          <w:trHeight w:val="300"/>
        </w:trPr>
        <w:tc>
          <w:tcPr>
            <w:tcW w:w="1700" w:type="dxa"/>
            <w:tcBorders>
              <w:top w:val="nil"/>
              <w:left w:val="single" w:sz="4" w:space="0" w:color="auto"/>
              <w:bottom w:val="single" w:sz="4" w:space="0" w:color="auto"/>
              <w:right w:val="single" w:sz="4" w:space="0" w:color="auto"/>
            </w:tcBorders>
            <w:shd w:val="clear" w:color="000000" w:fill="FFC0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201</w:t>
            </w:r>
            <w:r w:rsidR="00A14E08">
              <w:rPr>
                <w:color w:val="000000"/>
                <w:sz w:val="16"/>
                <w:szCs w:val="16"/>
              </w:rPr>
              <w:t>8</w:t>
            </w:r>
          </w:p>
        </w:tc>
        <w:tc>
          <w:tcPr>
            <w:tcW w:w="1000" w:type="dxa"/>
            <w:tcBorders>
              <w:top w:val="nil"/>
              <w:left w:val="nil"/>
              <w:bottom w:val="single" w:sz="4" w:space="0" w:color="auto"/>
              <w:right w:val="single" w:sz="4" w:space="0" w:color="auto"/>
            </w:tcBorders>
            <w:shd w:val="clear" w:color="000000" w:fill="FFC0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92</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FF0000"/>
                <w:sz w:val="16"/>
                <w:szCs w:val="16"/>
              </w:rPr>
            </w:pPr>
            <w:r w:rsidRPr="00D662FD">
              <w:rPr>
                <w:color w:val="FF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000000"/>
                <w:sz w:val="16"/>
                <w:szCs w:val="16"/>
              </w:rPr>
            </w:pPr>
            <w:r w:rsidRPr="00D662FD">
              <w:rPr>
                <w:color w:val="000000"/>
                <w:sz w:val="16"/>
                <w:szCs w:val="16"/>
              </w:rPr>
              <w:t>174</w:t>
            </w:r>
          </w:p>
        </w:tc>
        <w:tc>
          <w:tcPr>
            <w:tcW w:w="1000" w:type="dxa"/>
            <w:tcBorders>
              <w:top w:val="nil"/>
              <w:left w:val="nil"/>
              <w:bottom w:val="single" w:sz="4" w:space="0" w:color="auto"/>
              <w:right w:val="single" w:sz="4" w:space="0" w:color="auto"/>
            </w:tcBorders>
            <w:shd w:val="clear" w:color="000000" w:fill="FFC0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120</w:t>
            </w:r>
          </w:p>
        </w:tc>
        <w:tc>
          <w:tcPr>
            <w:tcW w:w="1000" w:type="dxa"/>
            <w:tcBorders>
              <w:top w:val="nil"/>
              <w:left w:val="nil"/>
              <w:bottom w:val="single" w:sz="4" w:space="0" w:color="auto"/>
              <w:right w:val="single" w:sz="4" w:space="0" w:color="auto"/>
            </w:tcBorders>
            <w:shd w:val="clear" w:color="000000" w:fill="FFC0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xml:space="preserve">         106.0 </w:t>
            </w:r>
          </w:p>
        </w:tc>
        <w:tc>
          <w:tcPr>
            <w:tcW w:w="1000" w:type="dxa"/>
            <w:tcBorders>
              <w:top w:val="nil"/>
              <w:left w:val="nil"/>
              <w:bottom w:val="single" w:sz="4" w:space="0" w:color="auto"/>
              <w:right w:val="single" w:sz="4" w:space="0" w:color="auto"/>
            </w:tcBorders>
            <w:shd w:val="clear" w:color="000000" w:fill="FFC0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xml:space="preserve">         1.087 </w:t>
            </w:r>
          </w:p>
        </w:tc>
      </w:tr>
      <w:tr w:rsidR="008D290B" w:rsidTr="00AB5C2F">
        <w:trPr>
          <w:trHeight w:val="300"/>
        </w:trPr>
        <w:tc>
          <w:tcPr>
            <w:tcW w:w="1700" w:type="dxa"/>
            <w:tcBorders>
              <w:top w:val="nil"/>
              <w:left w:val="single" w:sz="4" w:space="0" w:color="auto"/>
              <w:bottom w:val="single" w:sz="4" w:space="0" w:color="auto"/>
              <w:right w:val="single" w:sz="4" w:space="0" w:color="auto"/>
            </w:tcBorders>
            <w:shd w:val="clear" w:color="000000" w:fill="FFFF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201</w:t>
            </w:r>
            <w:r w:rsidR="00A14E08">
              <w:rPr>
                <w:color w:val="000000"/>
                <w:sz w:val="16"/>
                <w:szCs w:val="16"/>
              </w:rPr>
              <w:t>8</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000000"/>
                <w:sz w:val="16"/>
                <w:szCs w:val="16"/>
              </w:rPr>
            </w:pPr>
            <w:r w:rsidRPr="00D662FD">
              <w:rPr>
                <w:color w:val="000000"/>
                <w:sz w:val="16"/>
                <w:szCs w:val="16"/>
              </w:rPr>
              <w:t>92</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FF0000"/>
                <w:sz w:val="16"/>
                <w:szCs w:val="16"/>
              </w:rPr>
            </w:pPr>
            <w:r w:rsidRPr="00D662FD">
              <w:rPr>
                <w:color w:val="FF0000"/>
                <w:sz w:val="16"/>
                <w:szCs w:val="16"/>
              </w:rPr>
              <w:t> </w:t>
            </w:r>
          </w:p>
        </w:tc>
        <w:tc>
          <w:tcPr>
            <w:tcW w:w="1000" w:type="dxa"/>
            <w:tcBorders>
              <w:top w:val="nil"/>
              <w:left w:val="nil"/>
              <w:bottom w:val="single" w:sz="4" w:space="0" w:color="auto"/>
              <w:right w:val="single" w:sz="4" w:space="0" w:color="auto"/>
            </w:tcBorders>
            <w:shd w:val="clear" w:color="000000" w:fill="FFFF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174</w:t>
            </w:r>
          </w:p>
        </w:tc>
        <w:tc>
          <w:tcPr>
            <w:tcW w:w="1000" w:type="dxa"/>
            <w:tcBorders>
              <w:top w:val="nil"/>
              <w:left w:val="nil"/>
              <w:bottom w:val="single" w:sz="4" w:space="0" w:color="auto"/>
              <w:right w:val="single" w:sz="4" w:space="0" w:color="auto"/>
            </w:tcBorders>
            <w:shd w:val="clear" w:color="000000" w:fill="FFFF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120</w:t>
            </w:r>
          </w:p>
        </w:tc>
        <w:tc>
          <w:tcPr>
            <w:tcW w:w="1000" w:type="dxa"/>
            <w:tcBorders>
              <w:top w:val="nil"/>
              <w:left w:val="nil"/>
              <w:bottom w:val="single" w:sz="4" w:space="0" w:color="auto"/>
              <w:right w:val="single" w:sz="4" w:space="0" w:color="auto"/>
            </w:tcBorders>
            <w:shd w:val="clear" w:color="000000" w:fill="FFFF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xml:space="preserve">         147.0 </w:t>
            </w:r>
          </w:p>
        </w:tc>
        <w:tc>
          <w:tcPr>
            <w:tcW w:w="1000" w:type="dxa"/>
            <w:tcBorders>
              <w:top w:val="nil"/>
              <w:left w:val="nil"/>
              <w:bottom w:val="single" w:sz="4" w:space="0" w:color="auto"/>
              <w:right w:val="single" w:sz="4" w:space="0" w:color="auto"/>
            </w:tcBorders>
            <w:shd w:val="clear" w:color="000000" w:fill="FFFF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w:t>
            </w:r>
          </w:p>
        </w:tc>
      </w:tr>
      <w:tr w:rsidR="008D290B" w:rsidTr="00AB5C2F">
        <w:trPr>
          <w:trHeight w:val="300"/>
        </w:trPr>
        <w:tc>
          <w:tcPr>
            <w:tcW w:w="1700" w:type="dxa"/>
            <w:tcBorders>
              <w:top w:val="nil"/>
              <w:left w:val="single" w:sz="4" w:space="0" w:color="auto"/>
              <w:bottom w:val="single" w:sz="4" w:space="0" w:color="auto"/>
              <w:right w:val="single" w:sz="4" w:space="0" w:color="auto"/>
            </w:tcBorders>
            <w:shd w:val="clear" w:color="000000" w:fill="FFFF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201</w:t>
            </w:r>
            <w:r w:rsidR="00A14E08">
              <w:rPr>
                <w:color w:val="000000"/>
                <w:sz w:val="16"/>
                <w:szCs w:val="16"/>
              </w:rPr>
              <w:t>9</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FF0000"/>
                <w:sz w:val="16"/>
                <w:szCs w:val="16"/>
              </w:rPr>
            </w:pPr>
            <w:r w:rsidRPr="00D662FD">
              <w:rPr>
                <w:color w:val="FF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000000"/>
                <w:sz w:val="16"/>
                <w:szCs w:val="16"/>
              </w:rPr>
            </w:pPr>
            <w:r w:rsidRPr="00D662FD">
              <w:rPr>
                <w:color w:val="000000"/>
                <w:sz w:val="16"/>
                <w:szCs w:val="16"/>
              </w:rPr>
              <w:t>85</w:t>
            </w:r>
          </w:p>
        </w:tc>
        <w:tc>
          <w:tcPr>
            <w:tcW w:w="1000" w:type="dxa"/>
            <w:tcBorders>
              <w:top w:val="nil"/>
              <w:left w:val="nil"/>
              <w:bottom w:val="single" w:sz="4" w:space="0" w:color="auto"/>
              <w:right w:val="single" w:sz="4" w:space="0" w:color="auto"/>
            </w:tcBorders>
            <w:shd w:val="clear" w:color="000000" w:fill="FFFF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180</w:t>
            </w:r>
          </w:p>
        </w:tc>
        <w:tc>
          <w:tcPr>
            <w:tcW w:w="1000" w:type="dxa"/>
            <w:tcBorders>
              <w:top w:val="nil"/>
              <w:left w:val="nil"/>
              <w:bottom w:val="single" w:sz="4" w:space="0" w:color="auto"/>
              <w:right w:val="single" w:sz="4" w:space="0" w:color="auto"/>
            </w:tcBorders>
            <w:shd w:val="clear" w:color="000000" w:fill="FFFF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125</w:t>
            </w:r>
          </w:p>
        </w:tc>
        <w:tc>
          <w:tcPr>
            <w:tcW w:w="1000" w:type="dxa"/>
            <w:tcBorders>
              <w:top w:val="nil"/>
              <w:left w:val="nil"/>
              <w:bottom w:val="single" w:sz="4" w:space="0" w:color="auto"/>
              <w:right w:val="single" w:sz="4" w:space="0" w:color="auto"/>
            </w:tcBorders>
            <w:shd w:val="clear" w:color="000000" w:fill="FFFF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xml:space="preserve">         152.5 </w:t>
            </w:r>
          </w:p>
        </w:tc>
        <w:tc>
          <w:tcPr>
            <w:tcW w:w="1000" w:type="dxa"/>
            <w:tcBorders>
              <w:top w:val="nil"/>
              <w:left w:val="nil"/>
              <w:bottom w:val="single" w:sz="4" w:space="0" w:color="auto"/>
              <w:right w:val="single" w:sz="4" w:space="0" w:color="auto"/>
            </w:tcBorders>
            <w:shd w:val="clear" w:color="000000" w:fill="FFFF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xml:space="preserve">         1.037 </w:t>
            </w:r>
          </w:p>
        </w:tc>
      </w:tr>
      <w:tr w:rsidR="008D290B" w:rsidTr="00AB5C2F">
        <w:trPr>
          <w:trHeight w:val="300"/>
        </w:trPr>
        <w:tc>
          <w:tcPr>
            <w:tcW w:w="1700" w:type="dxa"/>
            <w:tcBorders>
              <w:top w:val="nil"/>
              <w:left w:val="single" w:sz="4" w:space="0" w:color="auto"/>
              <w:bottom w:val="single" w:sz="4" w:space="0" w:color="auto"/>
              <w:right w:val="single" w:sz="4" w:space="0" w:color="auto"/>
            </w:tcBorders>
            <w:shd w:val="clear" w:color="000000" w:fill="FFC000"/>
            <w:vAlign w:val="center"/>
            <w:hideMark/>
          </w:tcPr>
          <w:p w:rsidR="008D290B" w:rsidRPr="00D662FD" w:rsidRDefault="008D290B" w:rsidP="00AB5C2F">
            <w:pPr>
              <w:keepNext/>
              <w:keepLines/>
              <w:jc w:val="right"/>
              <w:rPr>
                <w:sz w:val="16"/>
                <w:szCs w:val="16"/>
              </w:rPr>
            </w:pPr>
            <w:r w:rsidRPr="00D662FD">
              <w:rPr>
                <w:sz w:val="16"/>
                <w:szCs w:val="16"/>
              </w:rPr>
              <w:t>201</w:t>
            </w:r>
            <w:r w:rsidR="00A14E08">
              <w:rPr>
                <w:sz w:val="16"/>
                <w:szCs w:val="16"/>
              </w:rPr>
              <w:t>9</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FF0000"/>
                <w:sz w:val="16"/>
                <w:szCs w:val="16"/>
              </w:rPr>
            </w:pPr>
            <w:r w:rsidRPr="00D662FD">
              <w:rPr>
                <w:color w:val="FF0000"/>
                <w:sz w:val="16"/>
                <w:szCs w:val="16"/>
              </w:rPr>
              <w:t> </w:t>
            </w:r>
          </w:p>
        </w:tc>
        <w:tc>
          <w:tcPr>
            <w:tcW w:w="1000" w:type="dxa"/>
            <w:tcBorders>
              <w:top w:val="nil"/>
              <w:left w:val="nil"/>
              <w:bottom w:val="single" w:sz="4" w:space="0" w:color="auto"/>
              <w:right w:val="single" w:sz="4" w:space="0" w:color="auto"/>
            </w:tcBorders>
            <w:shd w:val="clear" w:color="000000" w:fill="FFC0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85</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000000"/>
                <w:sz w:val="16"/>
                <w:szCs w:val="16"/>
              </w:rPr>
            </w:pPr>
            <w:r w:rsidRPr="00D662FD">
              <w:rPr>
                <w:color w:val="000000"/>
                <w:sz w:val="16"/>
                <w:szCs w:val="16"/>
              </w:rPr>
              <w:t>180</w:t>
            </w:r>
          </w:p>
        </w:tc>
        <w:tc>
          <w:tcPr>
            <w:tcW w:w="1000" w:type="dxa"/>
            <w:tcBorders>
              <w:top w:val="nil"/>
              <w:left w:val="nil"/>
              <w:bottom w:val="single" w:sz="4" w:space="0" w:color="auto"/>
              <w:right w:val="single" w:sz="4" w:space="0" w:color="auto"/>
            </w:tcBorders>
            <w:shd w:val="clear" w:color="000000" w:fill="FFC0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125</w:t>
            </w:r>
          </w:p>
        </w:tc>
        <w:tc>
          <w:tcPr>
            <w:tcW w:w="1000" w:type="dxa"/>
            <w:tcBorders>
              <w:top w:val="nil"/>
              <w:left w:val="nil"/>
              <w:bottom w:val="single" w:sz="4" w:space="0" w:color="auto"/>
              <w:right w:val="single" w:sz="4" w:space="0" w:color="auto"/>
            </w:tcBorders>
            <w:shd w:val="clear" w:color="000000" w:fill="FFC0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xml:space="preserve">         105.0 </w:t>
            </w:r>
          </w:p>
        </w:tc>
        <w:tc>
          <w:tcPr>
            <w:tcW w:w="1000" w:type="dxa"/>
            <w:tcBorders>
              <w:top w:val="nil"/>
              <w:left w:val="nil"/>
              <w:bottom w:val="single" w:sz="4" w:space="0" w:color="auto"/>
              <w:right w:val="single" w:sz="4" w:space="0" w:color="auto"/>
            </w:tcBorders>
            <w:shd w:val="clear" w:color="000000" w:fill="FFC0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w:t>
            </w:r>
          </w:p>
        </w:tc>
      </w:tr>
      <w:tr w:rsidR="008D290B" w:rsidTr="00AB5C2F">
        <w:trPr>
          <w:trHeight w:val="300"/>
        </w:trPr>
        <w:tc>
          <w:tcPr>
            <w:tcW w:w="1700" w:type="dxa"/>
            <w:tcBorders>
              <w:top w:val="nil"/>
              <w:left w:val="single" w:sz="4" w:space="0" w:color="auto"/>
              <w:bottom w:val="single" w:sz="4" w:space="0" w:color="auto"/>
              <w:right w:val="single" w:sz="4" w:space="0" w:color="auto"/>
            </w:tcBorders>
            <w:shd w:val="clear" w:color="000000" w:fill="FFC000"/>
            <w:vAlign w:val="center"/>
            <w:hideMark/>
          </w:tcPr>
          <w:p w:rsidR="008D290B" w:rsidRPr="00D662FD" w:rsidRDefault="008D290B" w:rsidP="00AB5C2F">
            <w:pPr>
              <w:keepNext/>
              <w:keepLines/>
              <w:jc w:val="right"/>
              <w:rPr>
                <w:sz w:val="16"/>
                <w:szCs w:val="16"/>
              </w:rPr>
            </w:pPr>
            <w:r w:rsidRPr="00D662FD">
              <w:rPr>
                <w:sz w:val="16"/>
                <w:szCs w:val="16"/>
              </w:rPr>
              <w:t>201</w:t>
            </w:r>
            <w:r>
              <w:rPr>
                <w:sz w:val="16"/>
                <w:szCs w:val="16"/>
              </w:rPr>
              <w:t>9</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000000"/>
                <w:sz w:val="16"/>
                <w:szCs w:val="16"/>
              </w:rPr>
            </w:pPr>
            <w:r w:rsidRPr="00D662FD">
              <w:rPr>
                <w:color w:val="000000"/>
                <w:sz w:val="16"/>
                <w:szCs w:val="16"/>
              </w:rPr>
              <w:t>95</w:t>
            </w:r>
          </w:p>
        </w:tc>
        <w:tc>
          <w:tcPr>
            <w:tcW w:w="1000" w:type="dxa"/>
            <w:tcBorders>
              <w:top w:val="nil"/>
              <w:left w:val="nil"/>
              <w:bottom w:val="single" w:sz="4" w:space="0" w:color="auto"/>
              <w:right w:val="single" w:sz="4" w:space="0" w:color="auto"/>
            </w:tcBorders>
            <w:shd w:val="clear" w:color="000000" w:fill="FFC0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90</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000000"/>
                <w:sz w:val="16"/>
                <w:szCs w:val="16"/>
              </w:rPr>
            </w:pPr>
            <w:r w:rsidRPr="00D662FD">
              <w:rPr>
                <w:color w:val="000000"/>
                <w:sz w:val="16"/>
                <w:szCs w:val="16"/>
              </w:rPr>
              <w:t> </w:t>
            </w:r>
          </w:p>
        </w:tc>
        <w:tc>
          <w:tcPr>
            <w:tcW w:w="1000" w:type="dxa"/>
            <w:tcBorders>
              <w:top w:val="nil"/>
              <w:left w:val="nil"/>
              <w:bottom w:val="single" w:sz="4" w:space="0" w:color="auto"/>
              <w:right w:val="single" w:sz="4" w:space="0" w:color="auto"/>
            </w:tcBorders>
            <w:shd w:val="clear" w:color="000000" w:fill="FFC0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127</w:t>
            </w:r>
          </w:p>
        </w:tc>
        <w:tc>
          <w:tcPr>
            <w:tcW w:w="1000" w:type="dxa"/>
            <w:tcBorders>
              <w:top w:val="nil"/>
              <w:left w:val="nil"/>
              <w:bottom w:val="single" w:sz="4" w:space="0" w:color="auto"/>
              <w:right w:val="single" w:sz="4" w:space="0" w:color="auto"/>
            </w:tcBorders>
            <w:shd w:val="clear" w:color="000000" w:fill="FFC0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xml:space="preserve">         108.5 </w:t>
            </w:r>
          </w:p>
        </w:tc>
        <w:tc>
          <w:tcPr>
            <w:tcW w:w="1000" w:type="dxa"/>
            <w:tcBorders>
              <w:top w:val="nil"/>
              <w:left w:val="nil"/>
              <w:bottom w:val="single" w:sz="4" w:space="0" w:color="auto"/>
              <w:right w:val="single" w:sz="4" w:space="0" w:color="auto"/>
            </w:tcBorders>
            <w:shd w:val="clear" w:color="000000" w:fill="FFC0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xml:space="preserve">         1.033 </w:t>
            </w:r>
          </w:p>
        </w:tc>
      </w:tr>
      <w:tr w:rsidR="008D290B" w:rsidTr="00AB5C2F">
        <w:trPr>
          <w:trHeight w:val="300"/>
        </w:trPr>
        <w:tc>
          <w:tcPr>
            <w:tcW w:w="1700" w:type="dxa"/>
            <w:tcBorders>
              <w:top w:val="nil"/>
              <w:left w:val="single" w:sz="4" w:space="0" w:color="auto"/>
              <w:bottom w:val="single" w:sz="4" w:space="0" w:color="auto"/>
              <w:right w:val="single" w:sz="4" w:space="0" w:color="auto"/>
            </w:tcBorders>
            <w:shd w:val="clear" w:color="000000" w:fill="FFFF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20</w:t>
            </w:r>
            <w:r w:rsidR="00A14E08">
              <w:rPr>
                <w:color w:val="000000"/>
                <w:sz w:val="16"/>
                <w:szCs w:val="16"/>
              </w:rPr>
              <w:t>20</w:t>
            </w:r>
          </w:p>
        </w:tc>
        <w:tc>
          <w:tcPr>
            <w:tcW w:w="1000" w:type="dxa"/>
            <w:tcBorders>
              <w:top w:val="nil"/>
              <w:left w:val="nil"/>
              <w:bottom w:val="single" w:sz="4" w:space="0" w:color="auto"/>
              <w:right w:val="single" w:sz="4" w:space="0" w:color="auto"/>
            </w:tcBorders>
            <w:shd w:val="clear" w:color="000000" w:fill="FFFF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95</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000000"/>
                <w:sz w:val="16"/>
                <w:szCs w:val="16"/>
              </w:rPr>
            </w:pPr>
            <w:r w:rsidRPr="00D662FD">
              <w:rPr>
                <w:color w:val="000000"/>
                <w:sz w:val="16"/>
                <w:szCs w:val="16"/>
              </w:rPr>
              <w:t>90</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000000"/>
                <w:sz w:val="16"/>
                <w:szCs w:val="16"/>
              </w:rPr>
            </w:pPr>
            <w:r w:rsidRPr="00D662FD">
              <w:rPr>
                <w:color w:val="000000"/>
                <w:sz w:val="16"/>
                <w:szCs w:val="16"/>
              </w:rPr>
              <w:t> </w:t>
            </w:r>
          </w:p>
        </w:tc>
        <w:tc>
          <w:tcPr>
            <w:tcW w:w="1000" w:type="dxa"/>
            <w:tcBorders>
              <w:top w:val="nil"/>
              <w:left w:val="nil"/>
              <w:bottom w:val="single" w:sz="4" w:space="0" w:color="auto"/>
              <w:right w:val="single" w:sz="4" w:space="0" w:color="auto"/>
            </w:tcBorders>
            <w:shd w:val="clear" w:color="000000" w:fill="FFFF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127</w:t>
            </w:r>
          </w:p>
        </w:tc>
        <w:tc>
          <w:tcPr>
            <w:tcW w:w="1000" w:type="dxa"/>
            <w:tcBorders>
              <w:top w:val="nil"/>
              <w:left w:val="nil"/>
              <w:bottom w:val="single" w:sz="4" w:space="0" w:color="auto"/>
              <w:right w:val="single" w:sz="4" w:space="0" w:color="auto"/>
            </w:tcBorders>
            <w:shd w:val="clear" w:color="000000" w:fill="FFFF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xml:space="preserve">         111.0 </w:t>
            </w:r>
          </w:p>
        </w:tc>
        <w:tc>
          <w:tcPr>
            <w:tcW w:w="1000" w:type="dxa"/>
            <w:tcBorders>
              <w:top w:val="nil"/>
              <w:left w:val="nil"/>
              <w:bottom w:val="single" w:sz="4" w:space="0" w:color="auto"/>
              <w:right w:val="single" w:sz="4" w:space="0" w:color="auto"/>
            </w:tcBorders>
            <w:shd w:val="clear" w:color="000000" w:fill="FFFF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w:t>
            </w:r>
          </w:p>
        </w:tc>
      </w:tr>
      <w:tr w:rsidR="008D290B" w:rsidTr="00AB5C2F">
        <w:trPr>
          <w:trHeight w:val="300"/>
        </w:trPr>
        <w:tc>
          <w:tcPr>
            <w:tcW w:w="1700" w:type="dxa"/>
            <w:tcBorders>
              <w:top w:val="nil"/>
              <w:left w:val="single" w:sz="4" w:space="0" w:color="auto"/>
              <w:bottom w:val="single" w:sz="4" w:space="0" w:color="auto"/>
              <w:right w:val="single" w:sz="4" w:space="0" w:color="auto"/>
            </w:tcBorders>
            <w:shd w:val="clear" w:color="000000" w:fill="FFFF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20</w:t>
            </w:r>
            <w:r>
              <w:rPr>
                <w:color w:val="000000"/>
                <w:sz w:val="16"/>
                <w:szCs w:val="16"/>
              </w:rPr>
              <w:t>2</w:t>
            </w:r>
            <w:r w:rsidR="00A14E08">
              <w:rPr>
                <w:color w:val="000000"/>
                <w:sz w:val="16"/>
                <w:szCs w:val="16"/>
              </w:rPr>
              <w:t>1</w:t>
            </w:r>
          </w:p>
        </w:tc>
        <w:tc>
          <w:tcPr>
            <w:tcW w:w="1000" w:type="dxa"/>
            <w:tcBorders>
              <w:top w:val="nil"/>
              <w:left w:val="nil"/>
              <w:bottom w:val="single" w:sz="4" w:space="0" w:color="auto"/>
              <w:right w:val="single" w:sz="4" w:space="0" w:color="auto"/>
            </w:tcBorders>
            <w:shd w:val="clear" w:color="000000" w:fill="FFFF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97</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000000"/>
                <w:sz w:val="16"/>
                <w:szCs w:val="16"/>
              </w:rPr>
            </w:pPr>
            <w:r w:rsidRPr="00D662FD">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000000"/>
                <w:sz w:val="16"/>
                <w:szCs w:val="16"/>
              </w:rPr>
            </w:pPr>
            <w:r w:rsidRPr="00D662FD">
              <w:rPr>
                <w:color w:val="000000"/>
                <w:sz w:val="16"/>
                <w:szCs w:val="16"/>
              </w:rPr>
              <w:t> </w:t>
            </w:r>
          </w:p>
        </w:tc>
        <w:tc>
          <w:tcPr>
            <w:tcW w:w="1000" w:type="dxa"/>
            <w:tcBorders>
              <w:top w:val="nil"/>
              <w:left w:val="nil"/>
              <w:bottom w:val="single" w:sz="4" w:space="0" w:color="auto"/>
              <w:right w:val="single" w:sz="4" w:space="0" w:color="auto"/>
            </w:tcBorders>
            <w:shd w:val="clear" w:color="000000" w:fill="FFFF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130</w:t>
            </w:r>
          </w:p>
        </w:tc>
        <w:tc>
          <w:tcPr>
            <w:tcW w:w="1000" w:type="dxa"/>
            <w:tcBorders>
              <w:top w:val="nil"/>
              <w:left w:val="nil"/>
              <w:bottom w:val="single" w:sz="4" w:space="0" w:color="auto"/>
              <w:right w:val="single" w:sz="4" w:space="0" w:color="auto"/>
            </w:tcBorders>
            <w:shd w:val="clear" w:color="000000" w:fill="FFFF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xml:space="preserve">         113.5 </w:t>
            </w:r>
          </w:p>
        </w:tc>
        <w:tc>
          <w:tcPr>
            <w:tcW w:w="1000" w:type="dxa"/>
            <w:tcBorders>
              <w:top w:val="nil"/>
              <w:left w:val="nil"/>
              <w:bottom w:val="single" w:sz="4" w:space="0" w:color="auto"/>
              <w:right w:val="single" w:sz="4" w:space="0" w:color="auto"/>
            </w:tcBorders>
            <w:shd w:val="clear" w:color="000000" w:fill="FFFF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xml:space="preserve">         1.023 </w:t>
            </w:r>
          </w:p>
        </w:tc>
      </w:tr>
      <w:tr w:rsidR="008D290B" w:rsidTr="00AB5C2F">
        <w:trPr>
          <w:trHeight w:val="300"/>
        </w:trPr>
        <w:tc>
          <w:tcPr>
            <w:tcW w:w="1700" w:type="dxa"/>
            <w:tcBorders>
              <w:top w:val="nil"/>
              <w:left w:val="single" w:sz="4" w:space="0" w:color="auto"/>
              <w:bottom w:val="single" w:sz="4" w:space="0" w:color="auto"/>
              <w:right w:val="single" w:sz="4" w:space="0" w:color="auto"/>
            </w:tcBorders>
            <w:shd w:val="clear" w:color="000000" w:fill="FFC0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20</w:t>
            </w:r>
            <w:r>
              <w:rPr>
                <w:color w:val="000000"/>
                <w:sz w:val="16"/>
                <w:szCs w:val="16"/>
              </w:rPr>
              <w:t>2</w:t>
            </w:r>
            <w:r w:rsidR="00A14E08">
              <w:rPr>
                <w:color w:val="000000"/>
                <w:sz w:val="16"/>
                <w:szCs w:val="16"/>
              </w:rPr>
              <w:t>1</w:t>
            </w:r>
          </w:p>
        </w:tc>
        <w:tc>
          <w:tcPr>
            <w:tcW w:w="1000" w:type="dxa"/>
            <w:tcBorders>
              <w:top w:val="nil"/>
              <w:left w:val="nil"/>
              <w:bottom w:val="single" w:sz="4" w:space="0" w:color="auto"/>
              <w:right w:val="single" w:sz="4" w:space="0" w:color="auto"/>
            </w:tcBorders>
            <w:shd w:val="clear" w:color="000000" w:fill="FFC0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97</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000000"/>
                <w:sz w:val="16"/>
                <w:szCs w:val="16"/>
              </w:rPr>
            </w:pPr>
            <w:r w:rsidRPr="00D662FD">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D290B" w:rsidRPr="00D662FD" w:rsidRDefault="008D290B" w:rsidP="00AB5C2F">
            <w:pPr>
              <w:keepNext/>
              <w:keepLines/>
              <w:jc w:val="right"/>
              <w:rPr>
                <w:color w:val="000000"/>
                <w:sz w:val="16"/>
                <w:szCs w:val="16"/>
              </w:rPr>
            </w:pPr>
            <w:r w:rsidRPr="00D662FD">
              <w:rPr>
                <w:color w:val="000000"/>
                <w:sz w:val="16"/>
                <w:szCs w:val="16"/>
              </w:rPr>
              <w:t> </w:t>
            </w:r>
          </w:p>
        </w:tc>
        <w:tc>
          <w:tcPr>
            <w:tcW w:w="1000" w:type="dxa"/>
            <w:tcBorders>
              <w:top w:val="nil"/>
              <w:left w:val="nil"/>
              <w:bottom w:val="single" w:sz="4" w:space="0" w:color="auto"/>
              <w:right w:val="single" w:sz="4" w:space="0" w:color="auto"/>
            </w:tcBorders>
            <w:shd w:val="clear" w:color="000000" w:fill="FFC0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130</w:t>
            </w:r>
          </w:p>
        </w:tc>
        <w:tc>
          <w:tcPr>
            <w:tcW w:w="1000" w:type="dxa"/>
            <w:tcBorders>
              <w:top w:val="nil"/>
              <w:left w:val="nil"/>
              <w:bottom w:val="single" w:sz="4" w:space="0" w:color="auto"/>
              <w:right w:val="single" w:sz="4" w:space="0" w:color="auto"/>
            </w:tcBorders>
            <w:shd w:val="clear" w:color="000000" w:fill="FFC0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xml:space="preserve">         113.5 </w:t>
            </w:r>
          </w:p>
        </w:tc>
        <w:tc>
          <w:tcPr>
            <w:tcW w:w="1000" w:type="dxa"/>
            <w:tcBorders>
              <w:top w:val="nil"/>
              <w:left w:val="nil"/>
              <w:bottom w:val="single" w:sz="4" w:space="0" w:color="auto"/>
              <w:right w:val="single" w:sz="4" w:space="0" w:color="auto"/>
            </w:tcBorders>
            <w:shd w:val="clear" w:color="000000" w:fill="FFC0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w:t>
            </w:r>
          </w:p>
        </w:tc>
      </w:tr>
      <w:tr w:rsidR="008D290B" w:rsidTr="00AB5C2F">
        <w:trPr>
          <w:trHeight w:val="300"/>
        </w:trPr>
        <w:tc>
          <w:tcPr>
            <w:tcW w:w="1700" w:type="dxa"/>
            <w:tcBorders>
              <w:top w:val="nil"/>
              <w:left w:val="single" w:sz="4" w:space="0" w:color="auto"/>
              <w:bottom w:val="single" w:sz="4" w:space="0" w:color="auto"/>
              <w:right w:val="single" w:sz="4" w:space="0" w:color="auto"/>
            </w:tcBorders>
            <w:shd w:val="clear" w:color="000000" w:fill="FFC0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20</w:t>
            </w:r>
            <w:r>
              <w:rPr>
                <w:color w:val="000000"/>
                <w:sz w:val="16"/>
                <w:szCs w:val="16"/>
              </w:rPr>
              <w:t>2</w:t>
            </w:r>
            <w:r w:rsidR="00A14E08">
              <w:rPr>
                <w:color w:val="000000"/>
                <w:sz w:val="16"/>
                <w:szCs w:val="16"/>
              </w:rPr>
              <w:t>2</w:t>
            </w:r>
          </w:p>
        </w:tc>
        <w:tc>
          <w:tcPr>
            <w:tcW w:w="1000" w:type="dxa"/>
            <w:tcBorders>
              <w:top w:val="nil"/>
              <w:left w:val="nil"/>
              <w:bottom w:val="single" w:sz="4" w:space="0" w:color="auto"/>
              <w:right w:val="single" w:sz="4" w:space="0" w:color="auto"/>
            </w:tcBorders>
            <w:shd w:val="clear" w:color="000000" w:fill="FFC000"/>
            <w:vAlign w:val="center"/>
            <w:hideMark/>
          </w:tcPr>
          <w:p w:rsidR="008D290B" w:rsidRPr="00D662FD" w:rsidRDefault="008D290B" w:rsidP="00AB5C2F">
            <w:pPr>
              <w:keepNext/>
              <w:keepLines/>
              <w:jc w:val="right"/>
              <w:rPr>
                <w:color w:val="000000"/>
                <w:sz w:val="16"/>
                <w:szCs w:val="16"/>
              </w:rPr>
            </w:pPr>
            <w:r w:rsidRPr="00D662FD">
              <w:rPr>
                <w:color w:val="000000"/>
                <w:sz w:val="16"/>
                <w:szCs w:val="16"/>
              </w:rPr>
              <w:t>100</w:t>
            </w:r>
          </w:p>
        </w:tc>
        <w:tc>
          <w:tcPr>
            <w:tcW w:w="1000" w:type="dxa"/>
            <w:tcBorders>
              <w:top w:val="nil"/>
              <w:left w:val="nil"/>
              <w:bottom w:val="single" w:sz="4" w:space="0" w:color="auto"/>
              <w:right w:val="single" w:sz="4" w:space="0" w:color="auto"/>
            </w:tcBorders>
            <w:shd w:val="clear" w:color="auto" w:fill="auto"/>
            <w:noWrap/>
            <w:vAlign w:val="bottom"/>
            <w:hideMark/>
          </w:tcPr>
          <w:p w:rsidR="008D290B" w:rsidRPr="00D662FD" w:rsidRDefault="008D290B" w:rsidP="00AB5C2F">
            <w:pPr>
              <w:keepNext/>
              <w:keepLines/>
              <w:jc w:val="right"/>
              <w:rPr>
                <w:rFonts w:ascii="Calibri" w:hAnsi="Calibri" w:cs="Calibri"/>
                <w:color w:val="000000"/>
                <w:sz w:val="16"/>
                <w:szCs w:val="16"/>
              </w:rPr>
            </w:pPr>
            <w:r w:rsidRPr="00D662FD">
              <w:rPr>
                <w:rFonts w:ascii="Calibri" w:hAnsi="Calibri" w:cs="Calibri"/>
                <w:color w:val="000000"/>
                <w:sz w:val="16"/>
                <w:szCs w:val="16"/>
              </w:rPr>
              <w:t>102</w:t>
            </w:r>
          </w:p>
        </w:tc>
        <w:tc>
          <w:tcPr>
            <w:tcW w:w="1000" w:type="dxa"/>
            <w:tcBorders>
              <w:top w:val="nil"/>
              <w:left w:val="nil"/>
              <w:bottom w:val="single" w:sz="4" w:space="0" w:color="auto"/>
              <w:right w:val="single" w:sz="4" w:space="0" w:color="auto"/>
            </w:tcBorders>
            <w:shd w:val="clear" w:color="auto" w:fill="auto"/>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000000" w:fill="FFC000"/>
            <w:noWrap/>
            <w:vAlign w:val="bottom"/>
            <w:hideMark/>
          </w:tcPr>
          <w:p w:rsidR="008D290B" w:rsidRPr="00D662FD" w:rsidRDefault="008D290B" w:rsidP="00AB5C2F">
            <w:pPr>
              <w:keepNext/>
              <w:keepLines/>
              <w:jc w:val="right"/>
              <w:rPr>
                <w:rFonts w:ascii="Calibri" w:hAnsi="Calibri" w:cs="Calibri"/>
                <w:color w:val="000000"/>
                <w:sz w:val="16"/>
                <w:szCs w:val="16"/>
              </w:rPr>
            </w:pPr>
            <w:r w:rsidRPr="00D662FD">
              <w:rPr>
                <w:rFonts w:ascii="Calibri" w:hAnsi="Calibri" w:cs="Calibri"/>
                <w:color w:val="000000"/>
                <w:sz w:val="16"/>
                <w:szCs w:val="16"/>
              </w:rPr>
              <w:t>135</w:t>
            </w:r>
          </w:p>
        </w:tc>
        <w:tc>
          <w:tcPr>
            <w:tcW w:w="1000" w:type="dxa"/>
            <w:tcBorders>
              <w:top w:val="nil"/>
              <w:left w:val="nil"/>
              <w:bottom w:val="single" w:sz="4" w:space="0" w:color="auto"/>
              <w:right w:val="single" w:sz="4" w:space="0" w:color="auto"/>
            </w:tcBorders>
            <w:shd w:val="clear" w:color="000000" w:fill="FFC0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xml:space="preserve">         117.5 </w:t>
            </w:r>
          </w:p>
        </w:tc>
        <w:tc>
          <w:tcPr>
            <w:tcW w:w="1000" w:type="dxa"/>
            <w:tcBorders>
              <w:top w:val="nil"/>
              <w:left w:val="nil"/>
              <w:bottom w:val="single" w:sz="4" w:space="0" w:color="auto"/>
              <w:right w:val="single" w:sz="4" w:space="0" w:color="auto"/>
            </w:tcBorders>
            <w:shd w:val="clear" w:color="000000" w:fill="FFC000"/>
            <w:noWrap/>
            <w:vAlign w:val="bottom"/>
            <w:hideMark/>
          </w:tcPr>
          <w:p w:rsidR="008D290B" w:rsidRPr="00D662FD" w:rsidRDefault="008D290B" w:rsidP="00AB5C2F">
            <w:pPr>
              <w:keepNext/>
              <w:keepLines/>
              <w:rPr>
                <w:rFonts w:ascii="Calibri" w:hAnsi="Calibri" w:cs="Calibri"/>
                <w:color w:val="000000"/>
                <w:sz w:val="16"/>
                <w:szCs w:val="16"/>
              </w:rPr>
            </w:pPr>
            <w:r w:rsidRPr="00D662FD">
              <w:rPr>
                <w:rFonts w:ascii="Calibri" w:hAnsi="Calibri" w:cs="Calibri"/>
                <w:color w:val="000000"/>
                <w:sz w:val="16"/>
                <w:szCs w:val="16"/>
              </w:rPr>
              <w:t xml:space="preserve">         1.035 </w:t>
            </w:r>
          </w:p>
        </w:tc>
      </w:tr>
    </w:tbl>
    <w:p w:rsidR="008D290B" w:rsidRDefault="008D290B" w:rsidP="008D290B"/>
    <w:p w:rsidR="008D290B" w:rsidRDefault="008D290B" w:rsidP="008D290B">
      <w:pPr>
        <w:keepNext/>
        <w:keepLines/>
      </w:pPr>
      <w:r>
        <w:lastRenderedPageBreak/>
        <w:t>Hypothetical sample: Calculation of chained index</w:t>
      </w:r>
    </w:p>
    <w:tbl>
      <w:tblPr>
        <w:tblW w:w="8702" w:type="dxa"/>
        <w:tblInd w:w="113" w:type="dxa"/>
        <w:tblLook w:val="04A0"/>
      </w:tblPr>
      <w:tblGrid>
        <w:gridCol w:w="946"/>
        <w:gridCol w:w="886"/>
        <w:gridCol w:w="847"/>
        <w:gridCol w:w="823"/>
        <w:gridCol w:w="823"/>
        <w:gridCol w:w="823"/>
        <w:gridCol w:w="823"/>
        <w:gridCol w:w="823"/>
        <w:gridCol w:w="918"/>
        <w:gridCol w:w="990"/>
      </w:tblGrid>
      <w:tr w:rsidR="00434A6B" w:rsidTr="00D17668">
        <w:trPr>
          <w:trHeight w:val="300"/>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A6B" w:rsidRDefault="00434A6B" w:rsidP="00434A6B">
            <w:pPr>
              <w:keepNext/>
              <w:keepLines/>
              <w:rPr>
                <w:rFonts w:ascii="Calibri" w:hAnsi="Calibri" w:cs="Calibri"/>
                <w:color w:val="000000"/>
                <w:sz w:val="22"/>
                <w:szCs w:val="22"/>
                <w:lang w:eastAsia="zh-CN"/>
              </w:rPr>
            </w:pPr>
            <w:r>
              <w:rPr>
                <w:rFonts w:ascii="Calibri" w:hAnsi="Calibri" w:cs="Calibri"/>
                <w:color w:val="000000"/>
                <w:sz w:val="22"/>
                <w:szCs w:val="22"/>
              </w:rPr>
              <w:t> </w:t>
            </w:r>
          </w:p>
        </w:tc>
        <w:tc>
          <w:tcPr>
            <w:tcW w:w="886" w:type="dxa"/>
            <w:tcBorders>
              <w:top w:val="single" w:sz="4" w:space="0" w:color="auto"/>
              <w:left w:val="nil"/>
              <w:bottom w:val="single" w:sz="4" w:space="0" w:color="auto"/>
              <w:right w:val="single" w:sz="4" w:space="0" w:color="auto"/>
            </w:tcBorders>
            <w:shd w:val="clear" w:color="auto" w:fill="auto"/>
            <w:noWrap/>
            <w:hideMark/>
          </w:tcPr>
          <w:p w:rsidR="00434A6B" w:rsidRDefault="00434A6B" w:rsidP="00434A6B">
            <w:pPr>
              <w:keepNext/>
              <w:keepLines/>
              <w:jc w:val="right"/>
              <w:rPr>
                <w:rFonts w:ascii="Calibri" w:hAnsi="Calibri" w:cs="Calibri"/>
                <w:color w:val="000000"/>
                <w:sz w:val="22"/>
                <w:szCs w:val="22"/>
              </w:rPr>
            </w:pPr>
            <w:r w:rsidRPr="00CE6EC4">
              <w:rPr>
                <w:sz w:val="20"/>
                <w:szCs w:val="20"/>
              </w:rPr>
              <w:t>2014</w:t>
            </w:r>
          </w:p>
        </w:tc>
        <w:tc>
          <w:tcPr>
            <w:tcW w:w="847" w:type="dxa"/>
            <w:tcBorders>
              <w:top w:val="single" w:sz="4" w:space="0" w:color="auto"/>
              <w:left w:val="nil"/>
              <w:bottom w:val="single" w:sz="4" w:space="0" w:color="auto"/>
              <w:right w:val="single" w:sz="4" w:space="0" w:color="auto"/>
            </w:tcBorders>
            <w:shd w:val="clear" w:color="auto" w:fill="auto"/>
            <w:noWrap/>
            <w:hideMark/>
          </w:tcPr>
          <w:p w:rsidR="00434A6B" w:rsidRDefault="00434A6B" w:rsidP="00434A6B">
            <w:pPr>
              <w:keepNext/>
              <w:keepLines/>
              <w:jc w:val="right"/>
              <w:rPr>
                <w:rFonts w:ascii="Calibri" w:hAnsi="Calibri" w:cs="Calibri"/>
                <w:color w:val="000000"/>
                <w:sz w:val="22"/>
                <w:szCs w:val="22"/>
              </w:rPr>
            </w:pPr>
            <w:r w:rsidRPr="00CE6EC4">
              <w:rPr>
                <w:sz w:val="20"/>
                <w:szCs w:val="20"/>
              </w:rPr>
              <w:t>2015</w:t>
            </w:r>
          </w:p>
        </w:tc>
        <w:tc>
          <w:tcPr>
            <w:tcW w:w="823" w:type="dxa"/>
            <w:tcBorders>
              <w:top w:val="single" w:sz="4" w:space="0" w:color="auto"/>
              <w:left w:val="nil"/>
              <w:bottom w:val="single" w:sz="4" w:space="0" w:color="auto"/>
              <w:right w:val="single" w:sz="4" w:space="0" w:color="auto"/>
            </w:tcBorders>
            <w:shd w:val="clear" w:color="auto" w:fill="auto"/>
            <w:noWrap/>
            <w:hideMark/>
          </w:tcPr>
          <w:p w:rsidR="00434A6B" w:rsidRDefault="00434A6B" w:rsidP="00434A6B">
            <w:pPr>
              <w:keepNext/>
              <w:keepLines/>
              <w:jc w:val="right"/>
              <w:rPr>
                <w:rFonts w:ascii="Calibri" w:hAnsi="Calibri" w:cs="Calibri"/>
                <w:color w:val="000000"/>
                <w:sz w:val="22"/>
                <w:szCs w:val="22"/>
              </w:rPr>
            </w:pPr>
            <w:r w:rsidRPr="00CE6EC4">
              <w:rPr>
                <w:sz w:val="20"/>
                <w:szCs w:val="20"/>
              </w:rPr>
              <w:t>2017</w:t>
            </w:r>
          </w:p>
        </w:tc>
        <w:tc>
          <w:tcPr>
            <w:tcW w:w="823" w:type="dxa"/>
            <w:tcBorders>
              <w:top w:val="single" w:sz="4" w:space="0" w:color="auto"/>
              <w:left w:val="nil"/>
              <w:bottom w:val="single" w:sz="4" w:space="0" w:color="auto"/>
              <w:right w:val="single" w:sz="4" w:space="0" w:color="auto"/>
            </w:tcBorders>
            <w:shd w:val="clear" w:color="auto" w:fill="auto"/>
            <w:noWrap/>
            <w:hideMark/>
          </w:tcPr>
          <w:p w:rsidR="00434A6B" w:rsidRDefault="00434A6B" w:rsidP="00434A6B">
            <w:pPr>
              <w:keepNext/>
              <w:keepLines/>
              <w:jc w:val="right"/>
              <w:rPr>
                <w:rFonts w:ascii="Calibri" w:hAnsi="Calibri" w:cs="Calibri"/>
                <w:color w:val="000000"/>
                <w:sz w:val="22"/>
                <w:szCs w:val="22"/>
              </w:rPr>
            </w:pPr>
            <w:r w:rsidRPr="00CE6EC4">
              <w:rPr>
                <w:sz w:val="20"/>
                <w:szCs w:val="20"/>
              </w:rPr>
              <w:t>2017</w:t>
            </w:r>
          </w:p>
        </w:tc>
        <w:tc>
          <w:tcPr>
            <w:tcW w:w="823" w:type="dxa"/>
            <w:tcBorders>
              <w:top w:val="single" w:sz="4" w:space="0" w:color="auto"/>
              <w:left w:val="nil"/>
              <w:bottom w:val="single" w:sz="4" w:space="0" w:color="auto"/>
              <w:right w:val="single" w:sz="4" w:space="0" w:color="auto"/>
            </w:tcBorders>
            <w:shd w:val="clear" w:color="auto" w:fill="auto"/>
            <w:noWrap/>
            <w:hideMark/>
          </w:tcPr>
          <w:p w:rsidR="00434A6B" w:rsidRDefault="00434A6B" w:rsidP="00434A6B">
            <w:pPr>
              <w:keepNext/>
              <w:keepLines/>
              <w:jc w:val="right"/>
              <w:rPr>
                <w:rFonts w:ascii="Calibri" w:hAnsi="Calibri" w:cs="Calibri"/>
                <w:color w:val="000000"/>
                <w:sz w:val="22"/>
                <w:szCs w:val="22"/>
              </w:rPr>
            </w:pPr>
            <w:r w:rsidRPr="00CE6EC4">
              <w:rPr>
                <w:sz w:val="20"/>
                <w:szCs w:val="20"/>
              </w:rPr>
              <w:t>2018</w:t>
            </w:r>
          </w:p>
        </w:tc>
        <w:tc>
          <w:tcPr>
            <w:tcW w:w="823" w:type="dxa"/>
            <w:tcBorders>
              <w:top w:val="single" w:sz="4" w:space="0" w:color="auto"/>
              <w:left w:val="nil"/>
              <w:bottom w:val="single" w:sz="4" w:space="0" w:color="auto"/>
              <w:right w:val="single" w:sz="4" w:space="0" w:color="auto"/>
            </w:tcBorders>
            <w:shd w:val="clear" w:color="auto" w:fill="auto"/>
            <w:noWrap/>
            <w:hideMark/>
          </w:tcPr>
          <w:p w:rsidR="00434A6B" w:rsidRDefault="00434A6B" w:rsidP="00434A6B">
            <w:pPr>
              <w:keepNext/>
              <w:keepLines/>
              <w:jc w:val="right"/>
              <w:rPr>
                <w:rFonts w:ascii="Calibri" w:hAnsi="Calibri" w:cs="Calibri"/>
                <w:color w:val="000000"/>
                <w:sz w:val="22"/>
                <w:szCs w:val="22"/>
              </w:rPr>
            </w:pPr>
            <w:r w:rsidRPr="00CE6EC4">
              <w:rPr>
                <w:sz w:val="20"/>
                <w:szCs w:val="20"/>
              </w:rPr>
              <w:t>2019</w:t>
            </w:r>
          </w:p>
        </w:tc>
        <w:tc>
          <w:tcPr>
            <w:tcW w:w="823" w:type="dxa"/>
            <w:tcBorders>
              <w:top w:val="single" w:sz="4" w:space="0" w:color="auto"/>
              <w:left w:val="nil"/>
              <w:bottom w:val="single" w:sz="4" w:space="0" w:color="auto"/>
              <w:right w:val="single" w:sz="4" w:space="0" w:color="auto"/>
            </w:tcBorders>
            <w:shd w:val="clear" w:color="auto" w:fill="auto"/>
            <w:noWrap/>
            <w:hideMark/>
          </w:tcPr>
          <w:p w:rsidR="00434A6B" w:rsidRDefault="00434A6B" w:rsidP="00434A6B">
            <w:pPr>
              <w:keepNext/>
              <w:keepLines/>
              <w:jc w:val="right"/>
              <w:rPr>
                <w:rFonts w:ascii="Calibri" w:hAnsi="Calibri" w:cs="Calibri"/>
                <w:color w:val="000000"/>
                <w:sz w:val="22"/>
                <w:szCs w:val="22"/>
              </w:rPr>
            </w:pPr>
            <w:r w:rsidRPr="00CE6EC4">
              <w:rPr>
                <w:sz w:val="20"/>
                <w:szCs w:val="20"/>
              </w:rPr>
              <w:t>2020</w:t>
            </w:r>
          </w:p>
        </w:tc>
        <w:tc>
          <w:tcPr>
            <w:tcW w:w="918" w:type="dxa"/>
            <w:tcBorders>
              <w:top w:val="single" w:sz="4" w:space="0" w:color="auto"/>
              <w:left w:val="nil"/>
              <w:bottom w:val="single" w:sz="4" w:space="0" w:color="auto"/>
              <w:right w:val="single" w:sz="4" w:space="0" w:color="auto"/>
            </w:tcBorders>
            <w:shd w:val="clear" w:color="auto" w:fill="auto"/>
            <w:noWrap/>
            <w:hideMark/>
          </w:tcPr>
          <w:p w:rsidR="00434A6B" w:rsidRDefault="00434A6B" w:rsidP="00434A6B">
            <w:pPr>
              <w:keepNext/>
              <w:keepLines/>
              <w:jc w:val="right"/>
              <w:rPr>
                <w:rFonts w:ascii="Calibri" w:hAnsi="Calibri" w:cs="Calibri"/>
                <w:color w:val="000000"/>
                <w:sz w:val="22"/>
                <w:szCs w:val="22"/>
              </w:rPr>
            </w:pPr>
            <w:r w:rsidRPr="00CE6EC4">
              <w:rPr>
                <w:sz w:val="20"/>
                <w:szCs w:val="20"/>
              </w:rPr>
              <w:t>2021</w:t>
            </w:r>
          </w:p>
        </w:tc>
        <w:tc>
          <w:tcPr>
            <w:tcW w:w="990" w:type="dxa"/>
            <w:tcBorders>
              <w:top w:val="single" w:sz="4" w:space="0" w:color="auto"/>
              <w:left w:val="nil"/>
              <w:bottom w:val="single" w:sz="4" w:space="0" w:color="auto"/>
              <w:right w:val="single" w:sz="4" w:space="0" w:color="auto"/>
            </w:tcBorders>
            <w:shd w:val="clear" w:color="auto" w:fill="auto"/>
            <w:noWrap/>
            <w:hideMark/>
          </w:tcPr>
          <w:p w:rsidR="00434A6B" w:rsidRDefault="00434A6B" w:rsidP="00434A6B">
            <w:pPr>
              <w:keepNext/>
              <w:keepLines/>
              <w:jc w:val="right"/>
              <w:rPr>
                <w:rFonts w:ascii="Calibri" w:hAnsi="Calibri" w:cs="Calibri"/>
                <w:color w:val="000000"/>
                <w:sz w:val="22"/>
                <w:szCs w:val="22"/>
              </w:rPr>
            </w:pPr>
            <w:r w:rsidRPr="00CE6EC4">
              <w:rPr>
                <w:sz w:val="20"/>
                <w:szCs w:val="20"/>
              </w:rPr>
              <w:t>202</w:t>
            </w:r>
            <w:r>
              <w:rPr>
                <w:sz w:val="20"/>
                <w:szCs w:val="20"/>
              </w:rPr>
              <w:t>2</w:t>
            </w:r>
          </w:p>
        </w:tc>
      </w:tr>
      <w:tr w:rsidR="00434A6B" w:rsidTr="00D17668">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tcPr>
          <w:p w:rsidR="00434A6B" w:rsidRPr="00D662FD" w:rsidRDefault="00434A6B" w:rsidP="00434A6B">
            <w:pPr>
              <w:keepNext/>
              <w:keepLines/>
              <w:rPr>
                <w:rFonts w:ascii="Calibri" w:hAnsi="Calibri" w:cs="Calibri"/>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434A6B" w:rsidRPr="009351F2" w:rsidRDefault="00434A6B" w:rsidP="00D17668">
            <w:pPr>
              <w:keepNext/>
              <w:keepLines/>
              <w:jc w:val="center"/>
              <w:rPr>
                <w:rFonts w:ascii="Calibri" w:hAnsi="Calibri" w:cs="Calibri"/>
                <w:sz w:val="12"/>
                <w:szCs w:val="12"/>
              </w:rPr>
            </w:pPr>
            <w:r w:rsidRPr="009351F2">
              <w:rPr>
                <w:rFonts w:ascii="Calibri" w:hAnsi="Calibri" w:cs="Calibri"/>
                <w:sz w:val="12"/>
                <w:szCs w:val="12"/>
              </w:rPr>
              <w:t>100</w:t>
            </w:r>
          </w:p>
        </w:tc>
        <w:tc>
          <w:tcPr>
            <w:tcW w:w="847" w:type="dxa"/>
            <w:tcBorders>
              <w:top w:val="nil"/>
              <w:left w:val="nil"/>
              <w:bottom w:val="single" w:sz="4" w:space="0" w:color="auto"/>
              <w:right w:val="single" w:sz="4" w:space="0" w:color="auto"/>
            </w:tcBorders>
            <w:shd w:val="clear" w:color="auto" w:fill="auto"/>
            <w:noWrap/>
            <w:vAlign w:val="bottom"/>
          </w:tcPr>
          <w:p w:rsidR="00434A6B" w:rsidRPr="009351F2" w:rsidRDefault="00434A6B" w:rsidP="00D17668">
            <w:pPr>
              <w:keepNext/>
              <w:keepLines/>
              <w:jc w:val="center"/>
              <w:rPr>
                <w:rFonts w:ascii="Calibri" w:hAnsi="Calibri" w:cs="Calibri"/>
                <w:sz w:val="12"/>
                <w:szCs w:val="12"/>
              </w:rPr>
            </w:pPr>
            <w:r w:rsidRPr="009351F2">
              <w:rPr>
                <w:rFonts w:ascii="Calibri" w:hAnsi="Calibri" w:cs="Calibri"/>
                <w:sz w:val="12"/>
                <w:szCs w:val="12"/>
              </w:rPr>
              <w:t>100*1.009</w:t>
            </w:r>
          </w:p>
        </w:tc>
        <w:tc>
          <w:tcPr>
            <w:tcW w:w="823" w:type="dxa"/>
            <w:tcBorders>
              <w:top w:val="nil"/>
              <w:left w:val="nil"/>
              <w:bottom w:val="single" w:sz="4" w:space="0" w:color="auto"/>
              <w:right w:val="single" w:sz="4" w:space="0" w:color="auto"/>
            </w:tcBorders>
            <w:shd w:val="clear" w:color="auto" w:fill="auto"/>
            <w:noWrap/>
            <w:vAlign w:val="bottom"/>
          </w:tcPr>
          <w:p w:rsidR="00434A6B" w:rsidRPr="009351F2" w:rsidRDefault="00434A6B" w:rsidP="00D17668">
            <w:pPr>
              <w:keepNext/>
              <w:keepLines/>
              <w:jc w:val="center"/>
              <w:rPr>
                <w:rFonts w:ascii="Calibri" w:hAnsi="Calibri" w:cs="Calibri"/>
                <w:sz w:val="12"/>
                <w:szCs w:val="12"/>
              </w:rPr>
            </w:pPr>
            <w:r w:rsidRPr="009351F2">
              <w:rPr>
                <w:rFonts w:ascii="Calibri" w:hAnsi="Calibri" w:cs="Calibri"/>
                <w:sz w:val="12"/>
                <w:szCs w:val="12"/>
              </w:rPr>
              <w:t>100.9*1.015</w:t>
            </w:r>
          </w:p>
        </w:tc>
        <w:tc>
          <w:tcPr>
            <w:tcW w:w="823" w:type="dxa"/>
            <w:tcBorders>
              <w:top w:val="nil"/>
              <w:left w:val="nil"/>
              <w:bottom w:val="single" w:sz="4" w:space="0" w:color="auto"/>
              <w:right w:val="single" w:sz="4" w:space="0" w:color="auto"/>
            </w:tcBorders>
            <w:shd w:val="clear" w:color="auto" w:fill="auto"/>
            <w:noWrap/>
            <w:vAlign w:val="bottom"/>
          </w:tcPr>
          <w:p w:rsidR="00434A6B" w:rsidRPr="009351F2" w:rsidRDefault="00434A6B" w:rsidP="00D17668">
            <w:pPr>
              <w:keepNext/>
              <w:keepLines/>
              <w:jc w:val="center"/>
              <w:rPr>
                <w:rFonts w:ascii="Calibri" w:hAnsi="Calibri" w:cs="Calibri"/>
                <w:sz w:val="12"/>
                <w:szCs w:val="12"/>
              </w:rPr>
            </w:pPr>
            <w:r w:rsidRPr="009351F2">
              <w:rPr>
                <w:rFonts w:ascii="Calibri" w:hAnsi="Calibri" w:cs="Calibri"/>
                <w:sz w:val="12"/>
                <w:szCs w:val="12"/>
              </w:rPr>
              <w:t>102.4*1.067</w:t>
            </w:r>
          </w:p>
        </w:tc>
        <w:tc>
          <w:tcPr>
            <w:tcW w:w="823" w:type="dxa"/>
            <w:tcBorders>
              <w:top w:val="nil"/>
              <w:left w:val="nil"/>
              <w:bottom w:val="single" w:sz="4" w:space="0" w:color="auto"/>
              <w:right w:val="single" w:sz="4" w:space="0" w:color="auto"/>
            </w:tcBorders>
            <w:shd w:val="clear" w:color="auto" w:fill="auto"/>
            <w:noWrap/>
            <w:vAlign w:val="bottom"/>
          </w:tcPr>
          <w:p w:rsidR="00434A6B" w:rsidRPr="009351F2" w:rsidRDefault="00434A6B" w:rsidP="00D17668">
            <w:pPr>
              <w:keepNext/>
              <w:keepLines/>
              <w:jc w:val="center"/>
              <w:rPr>
                <w:rFonts w:ascii="Calibri" w:hAnsi="Calibri" w:cs="Calibri"/>
                <w:sz w:val="12"/>
                <w:szCs w:val="12"/>
              </w:rPr>
            </w:pPr>
            <w:r w:rsidRPr="009351F2">
              <w:rPr>
                <w:rFonts w:ascii="Calibri" w:hAnsi="Calibri" w:cs="Calibri"/>
                <w:sz w:val="12"/>
                <w:szCs w:val="12"/>
              </w:rPr>
              <w:t>109.2*1.087</w:t>
            </w:r>
          </w:p>
        </w:tc>
        <w:tc>
          <w:tcPr>
            <w:tcW w:w="823" w:type="dxa"/>
            <w:tcBorders>
              <w:top w:val="nil"/>
              <w:left w:val="nil"/>
              <w:bottom w:val="single" w:sz="4" w:space="0" w:color="auto"/>
              <w:right w:val="single" w:sz="4" w:space="0" w:color="auto"/>
            </w:tcBorders>
            <w:shd w:val="clear" w:color="auto" w:fill="auto"/>
            <w:noWrap/>
            <w:vAlign w:val="bottom"/>
          </w:tcPr>
          <w:p w:rsidR="00434A6B" w:rsidRPr="009351F2" w:rsidRDefault="00434A6B" w:rsidP="00D17668">
            <w:pPr>
              <w:keepNext/>
              <w:keepLines/>
              <w:jc w:val="center"/>
              <w:rPr>
                <w:rFonts w:ascii="Calibri" w:hAnsi="Calibri" w:cs="Calibri"/>
                <w:sz w:val="12"/>
                <w:szCs w:val="12"/>
              </w:rPr>
            </w:pPr>
            <w:r w:rsidRPr="009351F2">
              <w:rPr>
                <w:rFonts w:ascii="Calibri" w:hAnsi="Calibri" w:cs="Calibri"/>
                <w:sz w:val="12"/>
                <w:szCs w:val="12"/>
              </w:rPr>
              <w:t>118.7*1.037</w:t>
            </w:r>
          </w:p>
        </w:tc>
        <w:tc>
          <w:tcPr>
            <w:tcW w:w="823" w:type="dxa"/>
            <w:tcBorders>
              <w:top w:val="nil"/>
              <w:left w:val="nil"/>
              <w:bottom w:val="single" w:sz="4" w:space="0" w:color="auto"/>
              <w:right w:val="single" w:sz="4" w:space="0" w:color="auto"/>
            </w:tcBorders>
            <w:shd w:val="clear" w:color="auto" w:fill="auto"/>
            <w:noWrap/>
            <w:vAlign w:val="bottom"/>
          </w:tcPr>
          <w:p w:rsidR="00434A6B" w:rsidRPr="009351F2" w:rsidRDefault="00434A6B" w:rsidP="00D17668">
            <w:pPr>
              <w:keepNext/>
              <w:keepLines/>
              <w:jc w:val="center"/>
              <w:rPr>
                <w:rFonts w:ascii="Calibri" w:hAnsi="Calibri" w:cs="Calibri"/>
                <w:sz w:val="12"/>
                <w:szCs w:val="12"/>
              </w:rPr>
            </w:pPr>
            <w:r w:rsidRPr="009351F2">
              <w:rPr>
                <w:rFonts w:ascii="Calibri" w:hAnsi="Calibri" w:cs="Calibri"/>
                <w:sz w:val="12"/>
                <w:szCs w:val="12"/>
              </w:rPr>
              <w:t>123.2*1.033</w:t>
            </w:r>
          </w:p>
        </w:tc>
        <w:tc>
          <w:tcPr>
            <w:tcW w:w="918" w:type="dxa"/>
            <w:tcBorders>
              <w:top w:val="nil"/>
              <w:left w:val="nil"/>
              <w:bottom w:val="single" w:sz="4" w:space="0" w:color="auto"/>
              <w:right w:val="single" w:sz="4" w:space="0" w:color="auto"/>
            </w:tcBorders>
            <w:shd w:val="clear" w:color="auto" w:fill="auto"/>
            <w:noWrap/>
            <w:vAlign w:val="bottom"/>
          </w:tcPr>
          <w:p w:rsidR="00434A6B" w:rsidRPr="009351F2" w:rsidRDefault="00434A6B" w:rsidP="00D17668">
            <w:pPr>
              <w:keepNext/>
              <w:keepLines/>
              <w:jc w:val="center"/>
              <w:rPr>
                <w:rFonts w:ascii="Calibri" w:hAnsi="Calibri" w:cs="Calibri"/>
                <w:sz w:val="12"/>
                <w:szCs w:val="12"/>
              </w:rPr>
            </w:pPr>
            <w:r w:rsidRPr="009351F2">
              <w:rPr>
                <w:rFonts w:ascii="Calibri" w:hAnsi="Calibri" w:cs="Calibri"/>
                <w:sz w:val="12"/>
                <w:szCs w:val="12"/>
              </w:rPr>
              <w:t>127.3*1.023</w:t>
            </w:r>
          </w:p>
        </w:tc>
        <w:tc>
          <w:tcPr>
            <w:tcW w:w="990" w:type="dxa"/>
            <w:tcBorders>
              <w:top w:val="nil"/>
              <w:left w:val="nil"/>
              <w:bottom w:val="single" w:sz="4" w:space="0" w:color="auto"/>
              <w:right w:val="single" w:sz="4" w:space="0" w:color="auto"/>
            </w:tcBorders>
            <w:shd w:val="clear" w:color="auto" w:fill="auto"/>
            <w:noWrap/>
            <w:vAlign w:val="bottom"/>
          </w:tcPr>
          <w:p w:rsidR="00434A6B" w:rsidRPr="009351F2" w:rsidRDefault="00434A6B" w:rsidP="00D17668">
            <w:pPr>
              <w:keepNext/>
              <w:keepLines/>
              <w:jc w:val="center"/>
              <w:rPr>
                <w:rFonts w:ascii="Calibri" w:hAnsi="Calibri" w:cs="Calibri"/>
                <w:sz w:val="12"/>
                <w:szCs w:val="12"/>
              </w:rPr>
            </w:pPr>
            <w:r w:rsidRPr="009351F2">
              <w:rPr>
                <w:rFonts w:ascii="Calibri" w:hAnsi="Calibri" w:cs="Calibri"/>
                <w:sz w:val="12"/>
                <w:szCs w:val="12"/>
              </w:rPr>
              <w:t>130.1*1.035</w:t>
            </w:r>
          </w:p>
        </w:tc>
      </w:tr>
      <w:tr w:rsidR="00434A6B" w:rsidTr="00D17668">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rsidR="00434A6B" w:rsidRDefault="00434A6B" w:rsidP="00434A6B">
            <w:pPr>
              <w:keepNext/>
              <w:keepLines/>
              <w:rPr>
                <w:rFonts w:ascii="Calibri" w:hAnsi="Calibri" w:cs="Calibri"/>
                <w:color w:val="000000"/>
                <w:sz w:val="22"/>
                <w:szCs w:val="22"/>
              </w:rPr>
            </w:pPr>
            <w:r>
              <w:rPr>
                <w:rFonts w:ascii="Calibri" w:hAnsi="Calibri" w:cs="Calibri"/>
                <w:color w:val="000000"/>
                <w:sz w:val="22"/>
                <w:szCs w:val="22"/>
              </w:rPr>
              <w:t>Chained index</w:t>
            </w:r>
          </w:p>
        </w:tc>
        <w:tc>
          <w:tcPr>
            <w:tcW w:w="886" w:type="dxa"/>
            <w:tcBorders>
              <w:top w:val="nil"/>
              <w:left w:val="nil"/>
              <w:bottom w:val="single" w:sz="4" w:space="0" w:color="auto"/>
              <w:right w:val="single" w:sz="4" w:space="0" w:color="auto"/>
            </w:tcBorders>
            <w:shd w:val="clear" w:color="auto" w:fill="auto"/>
            <w:noWrap/>
            <w:vAlign w:val="bottom"/>
            <w:hideMark/>
          </w:tcPr>
          <w:p w:rsidR="00434A6B" w:rsidRDefault="00434A6B" w:rsidP="009351F2">
            <w:pPr>
              <w:keepNext/>
              <w:keepLines/>
              <w:jc w:val="right"/>
              <w:rPr>
                <w:rFonts w:ascii="Calibri" w:hAnsi="Calibri" w:cs="Calibri"/>
                <w:color w:val="000000"/>
                <w:sz w:val="22"/>
                <w:szCs w:val="22"/>
              </w:rPr>
            </w:pPr>
            <w:r>
              <w:rPr>
                <w:rFonts w:ascii="Calibri" w:hAnsi="Calibri" w:cs="Calibri"/>
                <w:color w:val="000000"/>
                <w:sz w:val="22"/>
                <w:szCs w:val="22"/>
              </w:rPr>
              <w:t xml:space="preserve">         100.0 </w:t>
            </w:r>
          </w:p>
        </w:tc>
        <w:tc>
          <w:tcPr>
            <w:tcW w:w="847" w:type="dxa"/>
            <w:tcBorders>
              <w:top w:val="nil"/>
              <w:left w:val="nil"/>
              <w:bottom w:val="single" w:sz="4" w:space="0" w:color="auto"/>
              <w:right w:val="single" w:sz="4" w:space="0" w:color="auto"/>
            </w:tcBorders>
            <w:shd w:val="clear" w:color="auto" w:fill="auto"/>
            <w:noWrap/>
            <w:vAlign w:val="bottom"/>
            <w:hideMark/>
          </w:tcPr>
          <w:p w:rsidR="00434A6B" w:rsidRDefault="00434A6B" w:rsidP="009351F2">
            <w:pPr>
              <w:keepNext/>
              <w:keepLines/>
              <w:jc w:val="right"/>
              <w:rPr>
                <w:rFonts w:ascii="Calibri" w:hAnsi="Calibri" w:cs="Calibri"/>
                <w:color w:val="000000"/>
                <w:sz w:val="22"/>
                <w:szCs w:val="22"/>
              </w:rPr>
            </w:pPr>
            <w:r>
              <w:rPr>
                <w:rFonts w:ascii="Calibri" w:hAnsi="Calibri" w:cs="Calibri"/>
                <w:color w:val="000000"/>
                <w:sz w:val="22"/>
                <w:szCs w:val="22"/>
              </w:rPr>
              <w:t xml:space="preserve">         100.9 </w:t>
            </w:r>
          </w:p>
        </w:tc>
        <w:tc>
          <w:tcPr>
            <w:tcW w:w="823" w:type="dxa"/>
            <w:tcBorders>
              <w:top w:val="nil"/>
              <w:left w:val="nil"/>
              <w:bottom w:val="single" w:sz="4" w:space="0" w:color="auto"/>
              <w:right w:val="single" w:sz="4" w:space="0" w:color="auto"/>
            </w:tcBorders>
            <w:shd w:val="clear" w:color="auto" w:fill="auto"/>
            <w:noWrap/>
            <w:vAlign w:val="bottom"/>
            <w:hideMark/>
          </w:tcPr>
          <w:p w:rsidR="00434A6B" w:rsidRDefault="00434A6B" w:rsidP="009351F2">
            <w:pPr>
              <w:keepNext/>
              <w:keepLines/>
              <w:jc w:val="right"/>
              <w:rPr>
                <w:rFonts w:ascii="Calibri" w:hAnsi="Calibri" w:cs="Calibri"/>
                <w:color w:val="000000"/>
                <w:sz w:val="22"/>
                <w:szCs w:val="22"/>
              </w:rPr>
            </w:pPr>
            <w:r>
              <w:rPr>
                <w:rFonts w:ascii="Calibri" w:hAnsi="Calibri" w:cs="Calibri"/>
                <w:color w:val="000000"/>
                <w:sz w:val="22"/>
                <w:szCs w:val="22"/>
              </w:rPr>
              <w:t xml:space="preserve">         102.4 </w:t>
            </w:r>
          </w:p>
        </w:tc>
        <w:tc>
          <w:tcPr>
            <w:tcW w:w="823" w:type="dxa"/>
            <w:tcBorders>
              <w:top w:val="nil"/>
              <w:left w:val="nil"/>
              <w:bottom w:val="single" w:sz="4" w:space="0" w:color="auto"/>
              <w:right w:val="single" w:sz="4" w:space="0" w:color="auto"/>
            </w:tcBorders>
            <w:shd w:val="clear" w:color="auto" w:fill="auto"/>
            <w:noWrap/>
            <w:vAlign w:val="bottom"/>
            <w:hideMark/>
          </w:tcPr>
          <w:p w:rsidR="00434A6B" w:rsidRDefault="00434A6B" w:rsidP="009351F2">
            <w:pPr>
              <w:keepNext/>
              <w:keepLines/>
              <w:jc w:val="right"/>
              <w:rPr>
                <w:rFonts w:ascii="Calibri" w:hAnsi="Calibri" w:cs="Calibri"/>
                <w:color w:val="000000"/>
                <w:sz w:val="22"/>
                <w:szCs w:val="22"/>
              </w:rPr>
            </w:pPr>
            <w:r>
              <w:rPr>
                <w:rFonts w:ascii="Calibri" w:hAnsi="Calibri" w:cs="Calibri"/>
                <w:color w:val="000000"/>
                <w:sz w:val="22"/>
                <w:szCs w:val="22"/>
              </w:rPr>
              <w:t xml:space="preserve">         109.2 </w:t>
            </w:r>
          </w:p>
        </w:tc>
        <w:tc>
          <w:tcPr>
            <w:tcW w:w="823" w:type="dxa"/>
            <w:tcBorders>
              <w:top w:val="nil"/>
              <w:left w:val="nil"/>
              <w:bottom w:val="single" w:sz="4" w:space="0" w:color="auto"/>
              <w:right w:val="single" w:sz="4" w:space="0" w:color="auto"/>
            </w:tcBorders>
            <w:shd w:val="clear" w:color="auto" w:fill="auto"/>
            <w:noWrap/>
            <w:vAlign w:val="bottom"/>
            <w:hideMark/>
          </w:tcPr>
          <w:p w:rsidR="00434A6B" w:rsidRDefault="00434A6B" w:rsidP="009351F2">
            <w:pPr>
              <w:keepNext/>
              <w:keepLines/>
              <w:jc w:val="right"/>
              <w:rPr>
                <w:rFonts w:ascii="Calibri" w:hAnsi="Calibri" w:cs="Calibri"/>
                <w:color w:val="000000"/>
                <w:sz w:val="22"/>
                <w:szCs w:val="22"/>
              </w:rPr>
            </w:pPr>
            <w:r>
              <w:rPr>
                <w:rFonts w:ascii="Calibri" w:hAnsi="Calibri" w:cs="Calibri"/>
                <w:color w:val="000000"/>
                <w:sz w:val="22"/>
                <w:szCs w:val="22"/>
              </w:rPr>
              <w:t xml:space="preserve">         118.7 </w:t>
            </w:r>
          </w:p>
        </w:tc>
        <w:tc>
          <w:tcPr>
            <w:tcW w:w="823" w:type="dxa"/>
            <w:tcBorders>
              <w:top w:val="nil"/>
              <w:left w:val="nil"/>
              <w:bottom w:val="single" w:sz="4" w:space="0" w:color="auto"/>
              <w:right w:val="single" w:sz="4" w:space="0" w:color="auto"/>
            </w:tcBorders>
            <w:shd w:val="clear" w:color="auto" w:fill="auto"/>
            <w:noWrap/>
            <w:vAlign w:val="bottom"/>
            <w:hideMark/>
          </w:tcPr>
          <w:p w:rsidR="00434A6B" w:rsidRDefault="00434A6B" w:rsidP="009351F2">
            <w:pPr>
              <w:keepNext/>
              <w:keepLines/>
              <w:jc w:val="right"/>
              <w:rPr>
                <w:rFonts w:ascii="Calibri" w:hAnsi="Calibri" w:cs="Calibri"/>
                <w:color w:val="000000"/>
                <w:sz w:val="22"/>
                <w:szCs w:val="22"/>
              </w:rPr>
            </w:pPr>
            <w:r>
              <w:rPr>
                <w:rFonts w:ascii="Calibri" w:hAnsi="Calibri" w:cs="Calibri"/>
                <w:color w:val="000000"/>
                <w:sz w:val="22"/>
                <w:szCs w:val="22"/>
              </w:rPr>
              <w:t xml:space="preserve">         123.2 </w:t>
            </w:r>
          </w:p>
        </w:tc>
        <w:tc>
          <w:tcPr>
            <w:tcW w:w="823" w:type="dxa"/>
            <w:tcBorders>
              <w:top w:val="nil"/>
              <w:left w:val="nil"/>
              <w:bottom w:val="single" w:sz="4" w:space="0" w:color="auto"/>
              <w:right w:val="single" w:sz="4" w:space="0" w:color="auto"/>
            </w:tcBorders>
            <w:shd w:val="clear" w:color="auto" w:fill="auto"/>
            <w:noWrap/>
            <w:vAlign w:val="bottom"/>
            <w:hideMark/>
          </w:tcPr>
          <w:p w:rsidR="00434A6B" w:rsidRDefault="00434A6B" w:rsidP="009351F2">
            <w:pPr>
              <w:keepNext/>
              <w:keepLines/>
              <w:jc w:val="right"/>
              <w:rPr>
                <w:rFonts w:ascii="Calibri" w:hAnsi="Calibri" w:cs="Calibri"/>
                <w:color w:val="000000"/>
                <w:sz w:val="22"/>
                <w:szCs w:val="22"/>
              </w:rPr>
            </w:pPr>
            <w:r>
              <w:rPr>
                <w:rFonts w:ascii="Calibri" w:hAnsi="Calibri" w:cs="Calibri"/>
                <w:color w:val="000000"/>
                <w:sz w:val="22"/>
                <w:szCs w:val="22"/>
              </w:rPr>
              <w:t xml:space="preserve">         127.3 </w:t>
            </w:r>
          </w:p>
        </w:tc>
        <w:tc>
          <w:tcPr>
            <w:tcW w:w="918" w:type="dxa"/>
            <w:tcBorders>
              <w:top w:val="nil"/>
              <w:left w:val="nil"/>
              <w:bottom w:val="single" w:sz="4" w:space="0" w:color="auto"/>
              <w:right w:val="single" w:sz="4" w:space="0" w:color="auto"/>
            </w:tcBorders>
            <w:shd w:val="clear" w:color="auto" w:fill="auto"/>
            <w:noWrap/>
            <w:vAlign w:val="bottom"/>
            <w:hideMark/>
          </w:tcPr>
          <w:p w:rsidR="00434A6B" w:rsidRDefault="00434A6B" w:rsidP="009351F2">
            <w:pPr>
              <w:keepNext/>
              <w:keepLines/>
              <w:jc w:val="right"/>
              <w:rPr>
                <w:rFonts w:ascii="Calibri" w:hAnsi="Calibri" w:cs="Calibri"/>
                <w:color w:val="000000"/>
                <w:sz w:val="22"/>
                <w:szCs w:val="22"/>
              </w:rPr>
            </w:pPr>
            <w:r>
              <w:rPr>
                <w:rFonts w:ascii="Calibri" w:hAnsi="Calibri" w:cs="Calibri"/>
                <w:color w:val="000000"/>
                <w:sz w:val="22"/>
                <w:szCs w:val="22"/>
              </w:rPr>
              <w:t xml:space="preserve">         130.1 </w:t>
            </w:r>
          </w:p>
        </w:tc>
        <w:tc>
          <w:tcPr>
            <w:tcW w:w="990" w:type="dxa"/>
            <w:tcBorders>
              <w:top w:val="nil"/>
              <w:left w:val="nil"/>
              <w:bottom w:val="single" w:sz="4" w:space="0" w:color="auto"/>
              <w:right w:val="single" w:sz="4" w:space="0" w:color="auto"/>
            </w:tcBorders>
            <w:shd w:val="clear" w:color="auto" w:fill="auto"/>
            <w:noWrap/>
            <w:vAlign w:val="bottom"/>
            <w:hideMark/>
          </w:tcPr>
          <w:p w:rsidR="00434A6B" w:rsidRDefault="00434A6B" w:rsidP="009351F2">
            <w:pPr>
              <w:keepNext/>
              <w:keepLines/>
              <w:jc w:val="right"/>
              <w:rPr>
                <w:rFonts w:ascii="Calibri" w:hAnsi="Calibri" w:cs="Calibri"/>
                <w:color w:val="000000"/>
                <w:sz w:val="22"/>
                <w:szCs w:val="22"/>
              </w:rPr>
            </w:pPr>
            <w:r>
              <w:rPr>
                <w:rFonts w:ascii="Calibri" w:hAnsi="Calibri" w:cs="Calibri"/>
                <w:color w:val="000000"/>
                <w:sz w:val="22"/>
                <w:szCs w:val="22"/>
              </w:rPr>
              <w:t xml:space="preserve">         134.7 </w:t>
            </w:r>
          </w:p>
        </w:tc>
      </w:tr>
    </w:tbl>
    <w:p w:rsidR="008D290B" w:rsidRDefault="008D290B" w:rsidP="008D290B">
      <w:pPr>
        <w:keepNext/>
        <w:keepLines/>
      </w:pPr>
    </w:p>
    <w:p w:rsidR="002018B3" w:rsidRDefault="002529EF" w:rsidP="00786CD4">
      <w:r w:rsidRPr="005751A8">
        <w:t xml:space="preserve">While each of the methods used to identify consumption trends has its merits </w:t>
      </w:r>
      <w:r>
        <w:t xml:space="preserve">and its </w:t>
      </w:r>
      <w:r w:rsidRPr="005751A8">
        <w:t xml:space="preserve"> shortcomings, it may be still interesting to note that </w:t>
      </w:r>
      <w:r>
        <w:t>all calculations of benzoylecgonine in wastewater in Europe resulted in strong increases</w:t>
      </w:r>
      <w:r w:rsidRPr="00FE3651">
        <w:t xml:space="preserve"> </w:t>
      </w:r>
      <w:r w:rsidR="008A5753">
        <w:t>(</w:t>
      </w:r>
      <w:r w:rsidR="00F017D3">
        <w:t xml:space="preserve">73 per cent </w:t>
      </w:r>
      <w:r w:rsidR="00756BF6">
        <w:t xml:space="preserve">for both weighted and unweighted averages </w:t>
      </w:r>
      <w:r w:rsidR="00530FF7">
        <w:t xml:space="preserve">of the 119 cities </w:t>
      </w:r>
      <w:r w:rsidR="00F017D3">
        <w:t>over the period 2011 ̶ 2022</w:t>
      </w:r>
      <w:r w:rsidR="00756BF6">
        <w:t xml:space="preserve">) </w:t>
      </w:r>
      <w:r w:rsidR="00AC3DE1">
        <w:t xml:space="preserve">and stronger increases </w:t>
      </w:r>
      <w:r w:rsidR="00167346">
        <w:t xml:space="preserve">when </w:t>
      </w:r>
      <w:r w:rsidR="007C1DAA">
        <w:t xml:space="preserve">only </w:t>
      </w:r>
      <w:r w:rsidR="00167346">
        <w:t>the 7 cities</w:t>
      </w:r>
      <w:r w:rsidR="00471928">
        <w:t xml:space="preserve">’ results are </w:t>
      </w:r>
      <w:r w:rsidR="00135393">
        <w:t xml:space="preserve">considered </w:t>
      </w:r>
      <w:r w:rsidR="00471928">
        <w:t>which</w:t>
      </w:r>
      <w:r w:rsidR="00167346">
        <w:t xml:space="preserve"> </w:t>
      </w:r>
      <w:r w:rsidR="004F0F9A">
        <w:t>analys</w:t>
      </w:r>
      <w:r w:rsidR="00471928">
        <w:t>ed</w:t>
      </w:r>
      <w:r w:rsidR="004F0F9A">
        <w:t xml:space="preserve"> </w:t>
      </w:r>
      <w:r w:rsidR="00026D71">
        <w:t xml:space="preserve">their </w:t>
      </w:r>
      <w:r w:rsidR="004F0F9A">
        <w:t xml:space="preserve">waste-water </w:t>
      </w:r>
      <w:r w:rsidR="00167346">
        <w:t xml:space="preserve">each year </w:t>
      </w:r>
      <w:r w:rsidR="00A56B86">
        <w:t xml:space="preserve"> </w:t>
      </w:r>
      <w:r w:rsidR="00167346">
        <w:t>(</w:t>
      </w:r>
      <w:r w:rsidR="004F0F9A">
        <w:t xml:space="preserve">135 per cent </w:t>
      </w:r>
      <w:r w:rsidR="00325437">
        <w:t xml:space="preserve">based on unweighted </w:t>
      </w:r>
      <w:r w:rsidR="004F0F9A">
        <w:t>and 118 per</w:t>
      </w:r>
      <w:r w:rsidR="00C97D6A">
        <w:t xml:space="preserve"> </w:t>
      </w:r>
      <w:r w:rsidR="004F0F9A">
        <w:t xml:space="preserve">cent </w:t>
      </w:r>
      <w:r w:rsidR="00325437">
        <w:t>based on weighted averages</w:t>
      </w:r>
      <w:r w:rsidR="004F0F9A">
        <w:t xml:space="preserve"> over the 2011 ̶ 2022 period)</w:t>
      </w:r>
      <w:r w:rsidR="00A56B86">
        <w:t>.</w:t>
      </w:r>
      <w:r w:rsidR="009311A8">
        <w:t xml:space="preserve"> </w:t>
      </w:r>
      <w:r w:rsidR="006A2A42">
        <w:t>C</w:t>
      </w:r>
      <w:r w:rsidR="00B77009">
        <w:t xml:space="preserve">lculations of </w:t>
      </w:r>
      <w:r w:rsidR="00D43E9F">
        <w:t xml:space="preserve">a </w:t>
      </w:r>
      <w:r w:rsidR="00D41030">
        <w:t xml:space="preserve">chained </w:t>
      </w:r>
      <w:r w:rsidR="00D43E9F">
        <w:t>index</w:t>
      </w:r>
      <w:r w:rsidR="0025766D">
        <w:t xml:space="preserve"> </w:t>
      </w:r>
      <w:r w:rsidR="00B218D0">
        <w:t xml:space="preserve">showed even stronger increases </w:t>
      </w:r>
      <w:r w:rsidR="003147CB">
        <w:t>(</w:t>
      </w:r>
      <w:r w:rsidR="0098069E">
        <w:t>152 per cent over the period 2011 ̶ 2022)</w:t>
      </w:r>
      <w:r w:rsidR="00B218D0">
        <w:t xml:space="preserve">. </w:t>
      </w:r>
      <w:r w:rsidR="00A942B5">
        <w:t xml:space="preserve">While </w:t>
      </w:r>
      <w:r w:rsidR="0043242F">
        <w:t xml:space="preserve">cocaine </w:t>
      </w:r>
      <w:r w:rsidR="00A942B5">
        <w:t xml:space="preserve">consumption </w:t>
      </w:r>
      <w:r w:rsidR="00ED4D6B">
        <w:t xml:space="preserve">appears to </w:t>
      </w:r>
      <w:r w:rsidR="00A942B5">
        <w:t xml:space="preserve">have </w:t>
      </w:r>
      <w:r w:rsidR="0043242F">
        <w:t xml:space="preserve">temporarily </w:t>
      </w:r>
      <w:r w:rsidR="00A942B5">
        <w:t xml:space="preserve">stabilized or </w:t>
      </w:r>
      <w:r w:rsidR="0043242F">
        <w:t xml:space="preserve">even </w:t>
      </w:r>
      <w:r w:rsidR="00A942B5">
        <w:t xml:space="preserve">declined in </w:t>
      </w:r>
      <w:r w:rsidR="00ED4D6B">
        <w:t xml:space="preserve">2020, </w:t>
      </w:r>
      <w:r w:rsidR="0043242F">
        <w:t>the year of the COVID-19 outbreak in Europe,</w:t>
      </w:r>
      <w:r w:rsidR="00F046E1">
        <w:t xml:space="preserve"> cocaine consumption </w:t>
      </w:r>
      <w:r w:rsidR="0043242F">
        <w:t xml:space="preserve"> increased again strongly in 2021 and 2022. </w:t>
      </w:r>
      <w:r w:rsidR="00433F9B">
        <w:t>I</w:t>
      </w:r>
      <w:r w:rsidR="0003033B">
        <w:t xml:space="preserve">t </w:t>
      </w:r>
      <w:r>
        <w:t xml:space="preserve">may be </w:t>
      </w:r>
      <w:r w:rsidR="005A09C6">
        <w:t xml:space="preserve">also </w:t>
      </w:r>
      <w:r>
        <w:t xml:space="preserve">interesting to note that reported quantities of cocaine seized </w:t>
      </w:r>
      <w:r w:rsidR="00E05ACB">
        <w:t>even quintupled in Europe over the period 2011-2021</w:t>
      </w:r>
      <w:r w:rsidR="00794F64">
        <w:t xml:space="preserve">, suggesting that </w:t>
      </w:r>
      <w:r w:rsidR="00E42A66">
        <w:t xml:space="preserve">Europe’s </w:t>
      </w:r>
      <w:r w:rsidR="00794F64">
        <w:t xml:space="preserve">cocaine consumption might have increased even stronger </w:t>
      </w:r>
      <w:r w:rsidR="00C55310">
        <w:t xml:space="preserve">without </w:t>
      </w:r>
      <w:r w:rsidR="00B5145E">
        <w:t xml:space="preserve">the intensification of </w:t>
      </w:r>
      <w:r w:rsidR="00C55310">
        <w:t>law enforcement inverventions</w:t>
      </w:r>
      <w:r w:rsidR="009914B9">
        <w:t xml:space="preserve"> in recent years</w:t>
      </w:r>
      <w:r w:rsidR="00E05ACB">
        <w:t xml:space="preserve">. </w:t>
      </w:r>
      <w:r>
        <w:t xml:space="preserve"> </w:t>
      </w:r>
    </w:p>
    <w:p w:rsidR="009868F1" w:rsidRPr="00315CC3" w:rsidRDefault="009868F1" w:rsidP="00315CC3">
      <w:pPr>
        <w:keepNext/>
        <w:keepLines/>
        <w:rPr>
          <w:b/>
          <w:bCs/>
        </w:rPr>
      </w:pPr>
      <w:r w:rsidRPr="00315CC3">
        <w:rPr>
          <w:b/>
          <w:bCs/>
        </w:rPr>
        <w:lastRenderedPageBreak/>
        <w:t>Benzoylecgonine found in w</w:t>
      </w:r>
      <w:r w:rsidR="00315CC3" w:rsidRPr="00315CC3">
        <w:rPr>
          <w:b/>
          <w:bCs/>
        </w:rPr>
        <w:t>aste-water in Europe, 2011-2022</w:t>
      </w:r>
    </w:p>
    <w:p w:rsidR="00A30189" w:rsidRDefault="00360CF4" w:rsidP="00315CC3">
      <w:pPr>
        <w:keepNext/>
        <w:keepLines/>
      </w:pPr>
      <w:r>
        <w:rPr>
          <w:noProof/>
          <w:lang w:val="en-US" w:eastAsia="zh-CN"/>
        </w:rPr>
        <w:drawing>
          <wp:inline distT="0" distB="0" distL="0" distR="0">
            <wp:extent cx="5648325" cy="3967163"/>
            <wp:effectExtent l="0" t="0" r="9525" b="14605"/>
            <wp:docPr id="40" name="Chart 4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85554BB-85D8-4F73-AA7C-49E64C0F49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D4FDD" w:rsidRDefault="005D4FDD" w:rsidP="005D4FDD">
      <w:r>
        <w:rPr>
          <w:sz w:val="18"/>
          <w:szCs w:val="18"/>
        </w:rPr>
        <w:t>Source: UNODC calculations based on wastewater data provided by Sewage Analysis CORe group Europe (SCORE).</w:t>
      </w:r>
    </w:p>
    <w:p w:rsidR="00A30189" w:rsidRDefault="00A30189" w:rsidP="00315CC3">
      <w:pPr>
        <w:keepNext/>
        <w:keepLines/>
      </w:pPr>
    </w:p>
    <w:p w:rsidR="002529EF" w:rsidRDefault="00D80211" w:rsidP="00E96A16">
      <w:r>
        <w:t xml:space="preserve">Wastewater data were also used </w:t>
      </w:r>
      <w:r w:rsidR="00AC68E4">
        <w:t xml:space="preserve">used </w:t>
      </w:r>
      <w:r w:rsidR="00DA2CDF">
        <w:t xml:space="preserve">for the calculation of </w:t>
      </w:r>
      <w:r>
        <w:t>amphetamine, methamphetamine and MDMA standardized loads (in milligrams per day per 1000 inhabitants</w:t>
      </w:r>
      <w:r w:rsidR="00612764">
        <w:t xml:space="preserve">) </w:t>
      </w:r>
      <w:r w:rsidR="00E96A16">
        <w:t xml:space="preserve">in Europe. </w:t>
      </w:r>
    </w:p>
    <w:p w:rsidR="003D3863" w:rsidRPr="0036585D" w:rsidRDefault="003D3863" w:rsidP="009603EF">
      <w:pPr>
        <w:pStyle w:val="1"/>
        <w:numPr>
          <w:ilvl w:val="0"/>
          <w:numId w:val="19"/>
        </w:numPr>
      </w:pPr>
      <w:bookmarkStart w:id="67" w:name="_Toc108620814"/>
      <w:bookmarkStart w:id="68" w:name="_Toc108621935"/>
      <w:bookmarkStart w:id="69" w:name="_Toc108622959"/>
      <w:bookmarkStart w:id="70" w:name="_Toc92473076"/>
      <w:bookmarkStart w:id="71" w:name="_Toc92473077"/>
      <w:bookmarkStart w:id="72" w:name="_Toc92473078"/>
      <w:bookmarkStart w:id="73" w:name="_Toc517181117"/>
      <w:bookmarkStart w:id="74" w:name="_Toc517181178"/>
      <w:bookmarkStart w:id="75" w:name="_Toc517181634"/>
      <w:bookmarkStart w:id="76" w:name="_Toc517182279"/>
      <w:bookmarkStart w:id="77" w:name="_Toc517181118"/>
      <w:bookmarkStart w:id="78" w:name="_Toc517181179"/>
      <w:bookmarkStart w:id="79" w:name="_Toc517181635"/>
      <w:bookmarkStart w:id="80" w:name="_Toc517182280"/>
      <w:bookmarkStart w:id="81" w:name="_Toc517181119"/>
      <w:bookmarkStart w:id="82" w:name="_Toc517181180"/>
      <w:bookmarkStart w:id="83" w:name="_Toc517181636"/>
      <w:bookmarkStart w:id="84" w:name="_Toc517182281"/>
      <w:bookmarkStart w:id="85" w:name="_Toc517181120"/>
      <w:bookmarkStart w:id="86" w:name="_Toc517181181"/>
      <w:bookmarkStart w:id="87" w:name="_Toc517181637"/>
      <w:bookmarkStart w:id="88" w:name="_Toc517182282"/>
      <w:bookmarkStart w:id="89" w:name="_Toc517181121"/>
      <w:bookmarkStart w:id="90" w:name="_Toc517181182"/>
      <w:bookmarkStart w:id="91" w:name="_Toc517181638"/>
      <w:bookmarkStart w:id="92" w:name="_Toc517182283"/>
      <w:bookmarkStart w:id="93" w:name="_Toc517181122"/>
      <w:bookmarkStart w:id="94" w:name="_Toc517181183"/>
      <w:bookmarkStart w:id="95" w:name="_Toc517181639"/>
      <w:bookmarkStart w:id="96" w:name="_Toc517182284"/>
      <w:bookmarkStart w:id="97" w:name="_Toc517181123"/>
      <w:bookmarkStart w:id="98" w:name="_Toc517181184"/>
      <w:bookmarkStart w:id="99" w:name="_Toc517181640"/>
      <w:bookmarkStart w:id="100" w:name="_Toc517182285"/>
      <w:bookmarkStart w:id="101" w:name="_Toc517181124"/>
      <w:bookmarkStart w:id="102" w:name="_Toc517181185"/>
      <w:bookmarkStart w:id="103" w:name="_Toc517181641"/>
      <w:bookmarkStart w:id="104" w:name="_Toc517182286"/>
      <w:bookmarkStart w:id="105" w:name="_Toc517181125"/>
      <w:bookmarkStart w:id="106" w:name="_Toc517181186"/>
      <w:bookmarkStart w:id="107" w:name="_Toc517181642"/>
      <w:bookmarkStart w:id="108" w:name="_Toc517182287"/>
      <w:bookmarkStart w:id="109" w:name="_Toc517181126"/>
      <w:bookmarkStart w:id="110" w:name="_Toc517181187"/>
      <w:bookmarkStart w:id="111" w:name="_Toc517181643"/>
      <w:bookmarkStart w:id="112" w:name="_Toc517182288"/>
      <w:bookmarkStart w:id="113" w:name="_Toc517181127"/>
      <w:bookmarkStart w:id="114" w:name="_Toc517181188"/>
      <w:bookmarkStart w:id="115" w:name="_Toc517181644"/>
      <w:bookmarkStart w:id="116" w:name="_Toc517182289"/>
      <w:bookmarkStart w:id="117" w:name="_Toc517181128"/>
      <w:bookmarkStart w:id="118" w:name="_Toc517181189"/>
      <w:bookmarkStart w:id="119" w:name="_Toc517181645"/>
      <w:bookmarkStart w:id="120" w:name="_Toc517182290"/>
      <w:bookmarkStart w:id="121" w:name="_Toc517181129"/>
      <w:bookmarkStart w:id="122" w:name="_Toc517181190"/>
      <w:bookmarkStart w:id="123" w:name="_Toc517181646"/>
      <w:bookmarkStart w:id="124" w:name="_Toc517182291"/>
      <w:bookmarkStart w:id="125" w:name="_Toc517181130"/>
      <w:bookmarkStart w:id="126" w:name="_Toc517181191"/>
      <w:bookmarkStart w:id="127" w:name="_Toc517181647"/>
      <w:bookmarkStart w:id="128" w:name="_Toc517182292"/>
      <w:bookmarkStart w:id="129" w:name="_Toc517181131"/>
      <w:bookmarkStart w:id="130" w:name="_Toc517181192"/>
      <w:bookmarkStart w:id="131" w:name="_Toc517181648"/>
      <w:bookmarkStart w:id="132" w:name="_Toc517182293"/>
      <w:bookmarkStart w:id="133" w:name="_Toc517181132"/>
      <w:bookmarkStart w:id="134" w:name="_Toc517181193"/>
      <w:bookmarkStart w:id="135" w:name="_Toc517181649"/>
      <w:bookmarkStart w:id="136" w:name="_Toc517182294"/>
      <w:bookmarkStart w:id="137" w:name="_Toc517172923"/>
      <w:bookmarkStart w:id="138" w:name="_Toc517173017"/>
      <w:bookmarkStart w:id="139" w:name="_Toc108702220"/>
      <w:bookmarkEnd w:id="6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36585D">
        <w:t>Drug cultivation, production and manufacture</w:t>
      </w:r>
      <w:bookmarkEnd w:id="137"/>
      <w:bookmarkEnd w:id="138"/>
      <w:bookmarkEnd w:id="139"/>
    </w:p>
    <w:p w:rsidR="005F598B" w:rsidRPr="0092693B" w:rsidRDefault="00BC419E" w:rsidP="00F16E68">
      <w:r w:rsidRPr="0092693B">
        <w:t>Data on cultivation of opium poppy and coca bush and production of opium and coca leaf for the main producing countries (Afghanistan, Myanmar</w:t>
      </w:r>
      <w:r w:rsidR="00783261">
        <w:t xml:space="preserve">, Mexico and </w:t>
      </w:r>
      <w:r w:rsidRPr="0092693B">
        <w:t xml:space="preserve">the Lao People’s Democratic Republic, for opium; and Colombia, Peru and the Plurinational State of Bolivia for coca) are mainly derived from national monitoring systems supported by UNODC in the framework of the Global Illicit Crop Monitoring Programme (ICMP). </w:t>
      </w:r>
      <w:r w:rsidR="005F598B" w:rsidRPr="0092693B">
        <w:t xml:space="preserve">The detailed country reports can be found on the UNODC website  </w:t>
      </w:r>
      <w:hyperlink r:id="rId27" w:history="1">
        <w:r w:rsidR="005F598B" w:rsidRPr="0092693B">
          <w:rPr>
            <w:rStyle w:val="a9"/>
          </w:rPr>
          <w:t>https://www.unodc.org/unodc/en/crop-monitoring/index.html</w:t>
        </w:r>
      </w:hyperlink>
      <w:r w:rsidR="005F598B" w:rsidRPr="0092693B">
        <w:t xml:space="preserve"> </w:t>
      </w:r>
    </w:p>
    <w:p w:rsidR="00DD2CA9" w:rsidRPr="0036585D" w:rsidRDefault="00F60D90" w:rsidP="00F16E68">
      <w:r w:rsidRPr="0085745A">
        <w:lastRenderedPageBreak/>
        <w:t>UN</w:t>
      </w:r>
      <w:r w:rsidR="008F6343">
        <w:t>OD</w:t>
      </w:r>
      <w:r w:rsidRPr="0085745A">
        <w:t xml:space="preserve">C </w:t>
      </w:r>
      <w:r w:rsidR="00513E5A" w:rsidRPr="0085745A">
        <w:t xml:space="preserve">supported </w:t>
      </w:r>
      <w:r w:rsidRPr="0085745A">
        <w:t xml:space="preserve">monitoring </w:t>
      </w:r>
      <w:r w:rsidR="00513E5A" w:rsidRPr="002E1D6F">
        <w:t xml:space="preserve">systems in most other countries started </w:t>
      </w:r>
      <w:r w:rsidRPr="0036585D">
        <w:t xml:space="preserve">following UNGASS </w:t>
      </w:r>
      <w:r w:rsidR="003F2039" w:rsidRPr="0036585D">
        <w:t>1998, became</w:t>
      </w:r>
      <w:r w:rsidRPr="0036585D">
        <w:t xml:space="preserve"> </w:t>
      </w:r>
      <w:r w:rsidR="00513E5A" w:rsidRPr="0036585D">
        <w:t xml:space="preserve">operational over the </w:t>
      </w:r>
      <w:r w:rsidRPr="0036585D">
        <w:t>2000-2002</w:t>
      </w:r>
      <w:r w:rsidR="00513E5A" w:rsidRPr="0036585D">
        <w:t xml:space="preserve"> period</w:t>
      </w:r>
      <w:r w:rsidR="00006812" w:rsidRPr="0036585D">
        <w:t xml:space="preserve"> and have reported data ever since</w:t>
      </w:r>
      <w:r w:rsidRPr="0036585D">
        <w:t>.</w:t>
      </w:r>
      <w:r w:rsidR="00513E5A" w:rsidRPr="0036585D">
        <w:t xml:space="preserve"> Opium cultivation and production estimates are available up to the year</w:t>
      </w:r>
      <w:r w:rsidR="002E713E">
        <w:t xml:space="preserve"> 2022</w:t>
      </w:r>
      <w:r w:rsidR="00006812" w:rsidRPr="0036585D">
        <w:t xml:space="preserve">. </w:t>
      </w:r>
      <w:r w:rsidR="006F011A" w:rsidRPr="0036585D">
        <w:t xml:space="preserve"> </w:t>
      </w:r>
    </w:p>
    <w:p w:rsidR="00851EFB" w:rsidRPr="0036585D" w:rsidRDefault="0025608C" w:rsidP="00A025E5">
      <w:r w:rsidRPr="0036585D">
        <w:t xml:space="preserve">The preliminary </w:t>
      </w:r>
      <w:r w:rsidR="007F7C27" w:rsidRPr="0036585D">
        <w:t xml:space="preserve">opium poppy cultivation </w:t>
      </w:r>
      <w:r w:rsidRPr="0036585D">
        <w:t>d</w:t>
      </w:r>
      <w:r w:rsidR="00851EFB" w:rsidRPr="0036585D">
        <w:t>ata for</w:t>
      </w:r>
      <w:r w:rsidR="00E000AC">
        <w:t> </w:t>
      </w:r>
      <w:r w:rsidR="00754375">
        <w:t>202</w:t>
      </w:r>
      <w:r w:rsidR="009D159E">
        <w:t>1</w:t>
      </w:r>
      <w:r w:rsidR="00B3405D">
        <w:t xml:space="preserve">, published in last year’s World Drug Report </w:t>
      </w:r>
      <w:r w:rsidR="00754375">
        <w:t>202</w:t>
      </w:r>
      <w:r w:rsidR="009D159E">
        <w:t>2</w:t>
      </w:r>
      <w:r w:rsidR="00E000AC" w:rsidRPr="0036585D">
        <w:t xml:space="preserve"> </w:t>
      </w:r>
      <w:r w:rsidR="00B3405D">
        <w:t xml:space="preserve">were </w:t>
      </w:r>
      <w:r w:rsidR="00851EFB" w:rsidRPr="0036585D">
        <w:t>revised as new information from missing countries became available</w:t>
      </w:r>
      <w:r w:rsidRPr="0036585D">
        <w:t xml:space="preserve"> and some country results were revised</w:t>
      </w:r>
      <w:r w:rsidR="00851EFB" w:rsidRPr="0036585D">
        <w:t xml:space="preserve">. </w:t>
      </w:r>
      <w:r w:rsidR="005A31CC">
        <w:t>Nonetheless, these are still preliminary figures as data from a number of countries, notably Mexico,  have</w:t>
      </w:r>
      <w:r w:rsidR="00272C69">
        <w:t xml:space="preserve"> been reported for 2020 bu</w:t>
      </w:r>
      <w:r w:rsidR="009023E3">
        <w:t xml:space="preserve">t not for 2021 or 2022. In this case, data for 2020 are used as a proxy </w:t>
      </w:r>
      <w:r w:rsidR="00C53C87">
        <w:t xml:space="preserve">to arrive at the global totals for 2021 and 2022. </w:t>
      </w:r>
    </w:p>
    <w:p w:rsidR="00145DC7" w:rsidRDefault="00CA742B" w:rsidP="00B64D4C">
      <w:r>
        <w:t>P</w:t>
      </w:r>
      <w:r w:rsidR="0025608C" w:rsidRPr="0036585D">
        <w:t xml:space="preserve">reliminary </w:t>
      </w:r>
      <w:r w:rsidR="007074D4">
        <w:t>opium poppy cultivation estimates</w:t>
      </w:r>
      <w:r w:rsidR="00CF186A">
        <w:t xml:space="preserve"> for 2022</w:t>
      </w:r>
      <w:r w:rsidR="007074D4">
        <w:t xml:space="preserve"> </w:t>
      </w:r>
      <w:r w:rsidR="001C35C2" w:rsidRPr="0036585D">
        <w:t xml:space="preserve"> </w:t>
      </w:r>
      <w:r w:rsidR="0025608C" w:rsidRPr="0036585D">
        <w:t>–</w:t>
      </w:r>
      <w:r w:rsidR="00CF186A">
        <w:t xml:space="preserve"> </w:t>
      </w:r>
      <w:r w:rsidR="00EF3EA1">
        <w:t xml:space="preserve">315,800 hectares </w:t>
      </w:r>
      <w:r w:rsidR="00B375F9">
        <w:t xml:space="preserve"> </w:t>
      </w:r>
      <w:r w:rsidR="0025608C" w:rsidRPr="0036585D">
        <w:t>hectares</w:t>
      </w:r>
      <w:r w:rsidR="00B3405D">
        <w:t xml:space="preserve"> at the global level</w:t>
      </w:r>
      <w:r w:rsidR="007074D4">
        <w:t xml:space="preserve"> </w:t>
      </w:r>
      <w:r w:rsidR="005A31CC">
        <w:t>–</w:t>
      </w:r>
      <w:r w:rsidR="0025608C" w:rsidRPr="0036585D">
        <w:t xml:space="preserve"> </w:t>
      </w:r>
      <w:r w:rsidR="005A31CC">
        <w:t xml:space="preserve">must </w:t>
      </w:r>
      <w:r>
        <w:t xml:space="preserve">thus still </w:t>
      </w:r>
      <w:r w:rsidR="00E63386">
        <w:t xml:space="preserve">be </w:t>
      </w:r>
      <w:r w:rsidR="006F011A" w:rsidRPr="0036585D">
        <w:t>interpreted with caution</w:t>
      </w:r>
      <w:r w:rsidR="00153F34">
        <w:t>.</w:t>
      </w:r>
      <w:r w:rsidR="00B3405D">
        <w:t xml:space="preserve"> These estimates are based on </w:t>
      </w:r>
      <w:r w:rsidR="007074D4">
        <w:t xml:space="preserve">new </w:t>
      </w:r>
      <w:r w:rsidR="00B3405D">
        <w:t xml:space="preserve">information received from Afghanistan and Myanmar, the two countries responsible for </w:t>
      </w:r>
      <w:r w:rsidR="005A31CC">
        <w:t>some 86</w:t>
      </w:r>
      <w:r w:rsidR="00B3405D">
        <w:t xml:space="preserve"> per cent of the global area under poppy</w:t>
      </w:r>
      <w:r w:rsidR="00711655">
        <w:t xml:space="preserve"> </w:t>
      </w:r>
      <w:r w:rsidR="00B3405D">
        <w:t xml:space="preserve">cultivation in </w:t>
      </w:r>
      <w:r w:rsidR="005A31CC">
        <w:t xml:space="preserve">2020 </w:t>
      </w:r>
      <w:r w:rsidR="00711655">
        <w:t xml:space="preserve">and on the assumption that the overall area under poppy cultivation in the other countries </w:t>
      </w:r>
      <w:r w:rsidR="007074D4">
        <w:t xml:space="preserve">may </w:t>
      </w:r>
      <w:r w:rsidR="00711655">
        <w:t xml:space="preserve">not </w:t>
      </w:r>
      <w:r w:rsidR="007074D4">
        <w:t xml:space="preserve">have </w:t>
      </w:r>
      <w:r w:rsidR="00711655">
        <w:t>change</w:t>
      </w:r>
      <w:r w:rsidR="007074D4">
        <w:t>d</w:t>
      </w:r>
      <w:r w:rsidR="00145DC7">
        <w:t>.</w:t>
      </w:r>
      <w:r w:rsidR="00405E4E">
        <w:t xml:space="preserve"> Data for 2021 were slightly revi</w:t>
      </w:r>
      <w:r w:rsidR="0029754F">
        <w:t>s</w:t>
      </w:r>
      <w:r w:rsidR="00405E4E">
        <w:t xml:space="preserve">ed </w:t>
      </w:r>
      <w:r w:rsidR="003A3840">
        <w:t xml:space="preserve">by 1 per cent </w:t>
      </w:r>
      <w:r w:rsidR="00405E4E">
        <w:t>from</w:t>
      </w:r>
      <w:r w:rsidR="0029754F">
        <w:t xml:space="preserve"> 246,800 ha to </w:t>
      </w:r>
      <w:r w:rsidR="00CA3337">
        <w:t>249,880</w:t>
      </w:r>
      <w:r w:rsidR="001351F4">
        <w:t xml:space="preserve"> ha</w:t>
      </w:r>
      <w:r w:rsidR="003202B7">
        <w:t xml:space="preserve"> as new data became available</w:t>
      </w:r>
      <w:r w:rsidR="001351F4">
        <w:t xml:space="preserve"> – but this number may still change </w:t>
      </w:r>
      <w:r w:rsidR="006779E0">
        <w:t xml:space="preserve">further </w:t>
      </w:r>
      <w:r w:rsidR="001351F4">
        <w:t xml:space="preserve">once </w:t>
      </w:r>
      <w:r w:rsidR="007E1356">
        <w:t xml:space="preserve"> data </w:t>
      </w:r>
      <w:r w:rsidR="006779E0">
        <w:t xml:space="preserve">from </w:t>
      </w:r>
      <w:r w:rsidR="007E1356">
        <w:t xml:space="preserve">Mexico for 2021 will have been received. </w:t>
      </w:r>
      <w:r w:rsidR="006779E0">
        <w:t xml:space="preserve">(Latest data </w:t>
      </w:r>
      <w:r w:rsidR="00FE26F3">
        <w:t xml:space="preserve">used </w:t>
      </w:r>
      <w:r w:rsidR="004B0634">
        <w:t xml:space="preserve">as a proxy </w:t>
      </w:r>
      <w:r w:rsidR="00FE26F3">
        <w:t xml:space="preserve">for </w:t>
      </w:r>
      <w:r w:rsidR="006779E0">
        <w:t xml:space="preserve">Mexico refers to 2020). </w:t>
      </w:r>
    </w:p>
    <w:p w:rsidR="00145DC7" w:rsidRDefault="00145DC7" w:rsidP="00B64D4C"/>
    <w:p w:rsidR="00665D51" w:rsidRDefault="00B64D4C" w:rsidP="00B64D4C">
      <w:r>
        <w:t>.</w:t>
      </w:r>
      <w:r w:rsidR="00711655">
        <w:t xml:space="preserve"> </w:t>
      </w:r>
    </w:p>
    <w:p w:rsidR="00B77D23" w:rsidRDefault="00B77D23" w:rsidP="00F16E68">
      <w:r w:rsidRPr="002E1D6F">
        <w:t xml:space="preserve">Opium poppy cultivation in countries which do not conduct area surveys, was estimated with an indirect method (see below).  The global opium poppy cultivation estimates for </w:t>
      </w:r>
      <w:r w:rsidR="005F79A4">
        <w:t>2022</w:t>
      </w:r>
      <w:r w:rsidR="005A31CC">
        <w:t xml:space="preserve"> </w:t>
      </w:r>
      <w:r w:rsidRPr="0036585D">
        <w:t xml:space="preserve"> will be adjusted again in next year’s World Drug Report once </w:t>
      </w:r>
      <w:r w:rsidR="00E94790" w:rsidRPr="0036585D">
        <w:t>more</w:t>
      </w:r>
      <w:r w:rsidRPr="0036585D">
        <w:t xml:space="preserve"> data will have become available. </w:t>
      </w:r>
    </w:p>
    <w:p w:rsidR="00BF6090" w:rsidRDefault="00E672A7" w:rsidP="00F16E68">
      <w:r>
        <w:t xml:space="preserve">Preliminary estimates suggest that global opium production in </w:t>
      </w:r>
      <w:r w:rsidR="005F79A4">
        <w:t xml:space="preserve">2022 </w:t>
      </w:r>
      <w:r>
        <w:t xml:space="preserve"> amounted to some </w:t>
      </w:r>
      <w:r w:rsidR="001B4D72">
        <w:t xml:space="preserve">7,800 </w:t>
      </w:r>
      <w:r w:rsidR="005366B6">
        <w:t xml:space="preserve"> </w:t>
      </w:r>
      <w:r>
        <w:t>tons</w:t>
      </w:r>
      <w:r w:rsidR="00CD4021">
        <w:t xml:space="preserve">. </w:t>
      </w:r>
      <w:r w:rsidR="00BF6090">
        <w:t xml:space="preserve">The preliminary opium production estimates for </w:t>
      </w:r>
      <w:r w:rsidR="001F516B">
        <w:t>2022</w:t>
      </w:r>
      <w:r w:rsidR="00BF6090">
        <w:t xml:space="preserve"> are based on data received from Afghanistan and Myanmar and the assumption of no significant change</w:t>
      </w:r>
      <w:r w:rsidR="0002036F">
        <w:t>s</w:t>
      </w:r>
      <w:r w:rsidR="00BF6090">
        <w:t xml:space="preserve"> in the overall total of the other countries.  </w:t>
      </w:r>
    </w:p>
    <w:p w:rsidR="001536DB" w:rsidRDefault="00F25718" w:rsidP="00F16E68">
      <w:r>
        <w:lastRenderedPageBreak/>
        <w:t xml:space="preserve">The </w:t>
      </w:r>
      <w:r w:rsidR="00BF6090">
        <w:t xml:space="preserve">preliminary estimate for global opium production in </w:t>
      </w:r>
      <w:r w:rsidR="005106C4">
        <w:t>2021</w:t>
      </w:r>
      <w:r w:rsidR="00BF6090">
        <w:t xml:space="preserve">, published in the </w:t>
      </w:r>
      <w:r w:rsidR="005106C4">
        <w:t xml:space="preserve">2022 </w:t>
      </w:r>
      <w:r w:rsidR="00BF6090">
        <w:t xml:space="preserve"> World Drug Report</w:t>
      </w:r>
      <w:r w:rsidR="005A31CC">
        <w:t>,</w:t>
      </w:r>
      <w:r w:rsidR="00BF6090">
        <w:t xml:space="preserve"> </w:t>
      </w:r>
      <w:r>
        <w:t xml:space="preserve">got revised </w:t>
      </w:r>
      <w:r w:rsidR="001536DB">
        <w:t xml:space="preserve">slightly </w:t>
      </w:r>
      <w:r w:rsidR="0020149A">
        <w:t xml:space="preserve">by 1 per cent </w:t>
      </w:r>
      <w:r>
        <w:t xml:space="preserve">from </w:t>
      </w:r>
      <w:r w:rsidR="0084315E">
        <w:t xml:space="preserve">7,930 </w:t>
      </w:r>
      <w:r w:rsidR="005A31CC">
        <w:t xml:space="preserve"> </w:t>
      </w:r>
      <w:r w:rsidR="001536DB">
        <w:t xml:space="preserve"> </w:t>
      </w:r>
      <w:r w:rsidR="00BF6090">
        <w:t xml:space="preserve">tons </w:t>
      </w:r>
      <w:r w:rsidR="001536DB">
        <w:t>to</w:t>
      </w:r>
      <w:r w:rsidR="005106C4">
        <w:t xml:space="preserve"> 8,030</w:t>
      </w:r>
      <w:r w:rsidR="001536DB">
        <w:t xml:space="preserve"> </w:t>
      </w:r>
      <w:r w:rsidR="005A31CC">
        <w:t xml:space="preserve"> </w:t>
      </w:r>
      <w:r w:rsidR="001536DB">
        <w:t xml:space="preserve"> tons</w:t>
      </w:r>
      <w:r>
        <w:t xml:space="preserve"> as new data became available</w:t>
      </w:r>
      <w:r w:rsidR="004B314C">
        <w:t xml:space="preserve"> – but will probably change again in next year’s World Drug Report once actual data from Mexico will have been reported</w:t>
      </w:r>
      <w:r>
        <w:t xml:space="preserve">. </w:t>
      </w:r>
    </w:p>
    <w:p w:rsidR="00BF6090" w:rsidRDefault="004B314C" w:rsidP="00F16E68">
      <w:r>
        <w:t>In contrast to the area under opium poppy cultivation, t</w:t>
      </w:r>
      <w:r w:rsidR="00BF6090">
        <w:t xml:space="preserve">he preliminary estimates for global opium production in </w:t>
      </w:r>
      <w:r w:rsidR="00570E9F">
        <w:t xml:space="preserve">2022 </w:t>
      </w:r>
      <w:r w:rsidR="00BF6090">
        <w:t xml:space="preserve"> are </w:t>
      </w:r>
      <w:r w:rsidR="004726DE">
        <w:t xml:space="preserve">with </w:t>
      </w:r>
      <w:r w:rsidR="00570E9F">
        <w:t>7,800</w:t>
      </w:r>
      <w:r w:rsidR="00EF222B">
        <w:t xml:space="preserve"> </w:t>
      </w:r>
      <w:r w:rsidR="004726DE">
        <w:t xml:space="preserve"> tons </w:t>
      </w:r>
      <w:r w:rsidR="00BF6090">
        <w:t>slightly</w:t>
      </w:r>
      <w:r>
        <w:t xml:space="preserve"> </w:t>
      </w:r>
      <w:r w:rsidR="00EF222B">
        <w:t xml:space="preserve">lower </w:t>
      </w:r>
      <w:r>
        <w:t>(</w:t>
      </w:r>
      <w:r w:rsidR="00202289">
        <w:t>3</w:t>
      </w:r>
      <w:r>
        <w:t xml:space="preserve"> per cent) </w:t>
      </w:r>
      <w:r w:rsidR="00BF6090">
        <w:t>than the global opium production estimates for 20</w:t>
      </w:r>
      <w:r>
        <w:t>2</w:t>
      </w:r>
      <w:r w:rsidR="00EF222B">
        <w:t>1</w:t>
      </w:r>
      <w:r>
        <w:t xml:space="preserve"> (</w:t>
      </w:r>
      <w:r w:rsidR="00EF222B">
        <w:t>8,030</w:t>
      </w:r>
      <w:r>
        <w:t xml:space="preserve"> tons) </w:t>
      </w:r>
      <w:r w:rsidR="00BF6090">
        <w:t xml:space="preserve">and lower than the recent peak reported in 2017 (10,240 tons) though still higher than average annual opium production over the </w:t>
      </w:r>
      <w:r>
        <w:t xml:space="preserve">period 2010-2020 </w:t>
      </w:r>
      <w:r w:rsidR="00BF6090">
        <w:t>(</w:t>
      </w:r>
      <w:r w:rsidR="006B7D00">
        <w:t xml:space="preserve">6,800 </w:t>
      </w:r>
      <w:r w:rsidR="00BF6090">
        <w:t xml:space="preserve"> tons per year</w:t>
      </w:r>
      <w:r>
        <w:t>).</w:t>
      </w:r>
      <w:r w:rsidR="00BF6090">
        <w:t xml:space="preserve">  </w:t>
      </w:r>
    </w:p>
    <w:p w:rsidR="00E672A7" w:rsidRDefault="004726DE" w:rsidP="00F16E68">
      <w:r>
        <w:t xml:space="preserve">It may be also interesting to compare these estimates to earlier estimates though </w:t>
      </w:r>
      <w:r w:rsidR="00E672A7">
        <w:t>a</w:t>
      </w:r>
      <w:r w:rsidR="008E767F">
        <w:t xml:space="preserve"> comparison of opium poppy cultivation and opium production with </w:t>
      </w:r>
      <w:r w:rsidR="006761F4">
        <w:t xml:space="preserve">estimates from previous decades, notably those reported for periods prior to World War II are rendered difficult as the methodologies then used differ from the methodologies used nowadays. </w:t>
      </w:r>
      <w:r w:rsidR="002C6202">
        <w:t xml:space="preserve">Opium production estimates are nowadays </w:t>
      </w:r>
      <w:r w:rsidR="00AB59F2">
        <w:t xml:space="preserve">mainly </w:t>
      </w:r>
      <w:r w:rsidR="002C6202">
        <w:t>derived from an analysis of satellite photos for the analysis of the area under cultivation</w:t>
      </w:r>
      <w:r w:rsidR="0002036F">
        <w:t xml:space="preserve"> which</w:t>
      </w:r>
      <w:r w:rsidR="002C6202">
        <w:t xml:space="preserve"> is then multiplied with the respective yields of opium per hectare found in specific regions, as derived from detailed yield surveys. In contrast, opium production estimates at the turn of the 19</w:t>
      </w:r>
      <w:r w:rsidR="002C6202" w:rsidRPr="0036585D">
        <w:rPr>
          <w:vertAlign w:val="superscript"/>
        </w:rPr>
        <w:t>th</w:t>
      </w:r>
      <w:r w:rsidR="002C6202">
        <w:t xml:space="preserve"> to the 20</w:t>
      </w:r>
      <w:r w:rsidR="002C6202" w:rsidRPr="0036585D">
        <w:rPr>
          <w:vertAlign w:val="superscript"/>
        </w:rPr>
        <w:t>th</w:t>
      </w:r>
      <w:r w:rsidR="002C6202">
        <w:t xml:space="preserve"> century were mainly derived from a detailed analysis of tax payments </w:t>
      </w:r>
      <w:r w:rsidR="00E672A7">
        <w:t xml:space="preserve">and other levies </w:t>
      </w:r>
      <w:r w:rsidR="002C6202">
        <w:t xml:space="preserve">of opium poppy farmers to the authorities. </w:t>
      </w:r>
    </w:p>
    <w:p w:rsidR="003B6C29" w:rsidRDefault="00E672A7" w:rsidP="00F16E68">
      <w:r>
        <w:t>Such</w:t>
      </w:r>
      <w:r w:rsidR="002C6202">
        <w:t xml:space="preserve"> </w:t>
      </w:r>
      <w:r>
        <w:t>global opium production estimates reported in the proceedings of the Shanghai Opium Commission, 1909, revealed e.g. a global opium production of 41,600 tons of opium for the period 1906/07.</w:t>
      </w:r>
      <w:r>
        <w:rPr>
          <w:rStyle w:val="a4"/>
          <w:sz w:val="18"/>
          <w:szCs w:val="18"/>
        </w:rPr>
        <w:footnoteReference w:id="13"/>
      </w:r>
      <w:r>
        <w:t xml:space="preserve">  For the year 1934 official reports by the League of Nations saw a global opium production of some 16,600 tons</w:t>
      </w:r>
      <w:r w:rsidRPr="00E672A7">
        <w:rPr>
          <w:rStyle w:val="a4"/>
          <w:sz w:val="18"/>
          <w:szCs w:val="18"/>
        </w:rPr>
        <w:t xml:space="preserve"> </w:t>
      </w:r>
      <w:r>
        <w:rPr>
          <w:rStyle w:val="a4"/>
          <w:sz w:val="18"/>
          <w:szCs w:val="18"/>
        </w:rPr>
        <w:footnoteReference w:id="14"/>
      </w:r>
      <w:r w:rsidR="00D923CE" w:rsidRPr="0036585D">
        <w:t xml:space="preserve"> </w:t>
      </w:r>
      <w:r w:rsidR="0002036F">
        <w:t>falling – based on preliminary estimates by the International Narcotics Control Board (INCB) to</w:t>
      </w:r>
      <w:r w:rsidR="00AD3E8F">
        <w:t xml:space="preserve"> 216 </w:t>
      </w:r>
      <w:r w:rsidR="00AA3D8B">
        <w:t xml:space="preserve"> </w:t>
      </w:r>
      <w:r w:rsidR="0002036F">
        <w:t xml:space="preserve"> tons by </w:t>
      </w:r>
      <w:r w:rsidR="00AD3E8F">
        <w:t>2022</w:t>
      </w:r>
      <w:r w:rsidR="00AA3D8B">
        <w:t xml:space="preserve">. </w:t>
      </w:r>
    </w:p>
    <w:p w:rsidR="00A136B0" w:rsidRDefault="00A2371A" w:rsidP="00CE2E21">
      <w:r>
        <w:lastRenderedPageBreak/>
        <w:t xml:space="preserve">A direct </w:t>
      </w:r>
      <w:r w:rsidR="003B6C29">
        <w:t xml:space="preserve">comparison, however, may be misleading. </w:t>
      </w:r>
      <w:r w:rsidR="00D923CE" w:rsidRPr="0036585D">
        <w:t>Compar</w:t>
      </w:r>
      <w:r w:rsidR="00D923CE">
        <w:t>isons are</w:t>
      </w:r>
      <w:r w:rsidR="000D76AC">
        <w:t xml:space="preserve"> </w:t>
      </w:r>
      <w:r w:rsidR="00D923CE">
        <w:t>complicated by the fact that the legal status of opium production was not always clear in the 19</w:t>
      </w:r>
      <w:r w:rsidR="00D923CE" w:rsidRPr="0036585D">
        <w:rPr>
          <w:vertAlign w:val="superscript"/>
        </w:rPr>
        <w:t>th</w:t>
      </w:r>
      <w:r w:rsidR="00D923CE">
        <w:t xml:space="preserve"> century and the early decades of the 20</w:t>
      </w:r>
      <w:r w:rsidR="00D923CE" w:rsidRPr="0036585D">
        <w:rPr>
          <w:vertAlign w:val="superscript"/>
        </w:rPr>
        <w:t>th</w:t>
      </w:r>
      <w:r w:rsidR="00D923CE">
        <w:t xml:space="preserve"> century, i.e. data reported </w:t>
      </w:r>
      <w:r w:rsidR="00A41EEF">
        <w:t xml:space="preserve">usually </w:t>
      </w:r>
      <w:r w:rsidR="00D923CE">
        <w:t xml:space="preserve">comprised both legal and illegal production of opium. </w:t>
      </w:r>
      <w:r w:rsidR="00ED5F1B">
        <w:t xml:space="preserve">Thus, </w:t>
      </w:r>
      <w:r w:rsidR="00A41EEF">
        <w:t xml:space="preserve">long-term </w:t>
      </w:r>
      <w:r w:rsidR="00ED5F1B">
        <w:t xml:space="preserve">comparisons should be made with </w:t>
      </w:r>
      <w:r w:rsidR="00A41EEF">
        <w:t xml:space="preserve">estimates for </w:t>
      </w:r>
      <w:r w:rsidR="00ED5F1B">
        <w:t>legal and illegal opium production combined.</w:t>
      </w:r>
      <w:r w:rsidR="00A136B0">
        <w:t xml:space="preserve">  </w:t>
      </w:r>
    </w:p>
    <w:p w:rsidR="00A66D2D" w:rsidRDefault="003B6C29" w:rsidP="00F16E68">
      <w:r>
        <w:t xml:space="preserve">Moreover, </w:t>
      </w:r>
      <w:r w:rsidR="00131D50">
        <w:t xml:space="preserve">this calculation does not take into account that much of the licit source of morphine production nowadays is in the form of poppy straw rather than in the form of opium as </w:t>
      </w:r>
      <w:r w:rsidR="00BD3E9C">
        <w:t xml:space="preserve">such. </w:t>
      </w:r>
    </w:p>
    <w:p w:rsidR="001C215E" w:rsidRDefault="007A3D8B" w:rsidP="002328C6">
      <w:r>
        <w:t>C</w:t>
      </w:r>
      <w:r w:rsidR="002328C6">
        <w:t xml:space="preserve">alculations can be also done based on </w:t>
      </w:r>
      <w:r>
        <w:t xml:space="preserve">the area of </w:t>
      </w:r>
      <w:r w:rsidR="002328C6">
        <w:t xml:space="preserve">opium poppy under cultivation. </w:t>
      </w:r>
      <w:r w:rsidR="00A66D2D">
        <w:t>Preliminary estimates suggest that a total of</w:t>
      </w:r>
      <w:r w:rsidR="00AA3D8B">
        <w:t xml:space="preserve"> </w:t>
      </w:r>
      <w:r w:rsidR="00B95100">
        <w:t xml:space="preserve"> 145</w:t>
      </w:r>
      <w:r w:rsidR="00BD096C">
        <w:t xml:space="preserve">,326 </w:t>
      </w:r>
      <w:r w:rsidR="00A66D2D">
        <w:t xml:space="preserve"> ha may have been under (licit) poppy straw cultivation in </w:t>
      </w:r>
      <w:r w:rsidR="00BD096C">
        <w:t>2022</w:t>
      </w:r>
      <w:r w:rsidR="00A66D2D">
        <w:t>, far more than under licit opium cultivation (</w:t>
      </w:r>
      <w:r w:rsidR="003B69F5">
        <w:t>6,180 ha)</w:t>
      </w:r>
      <w:r w:rsidR="00A66D2D">
        <w:t xml:space="preserve">. Such licit </w:t>
      </w:r>
      <w:r w:rsidR="001C215E">
        <w:t xml:space="preserve">cultivation of together around </w:t>
      </w:r>
      <w:r w:rsidR="002B59FB">
        <w:t>15</w:t>
      </w:r>
      <w:r w:rsidR="0085290C">
        <w:t>5,000</w:t>
      </w:r>
      <w:r w:rsidR="0033458B">
        <w:t xml:space="preserve"> </w:t>
      </w:r>
      <w:r w:rsidR="001C215E">
        <w:t>ha compares with an illicit opium cultivation of</w:t>
      </w:r>
      <w:r w:rsidR="00856997">
        <w:t xml:space="preserve"> 315,800 </w:t>
      </w:r>
      <w:r w:rsidR="00AA3D8B">
        <w:t xml:space="preserve"> ha in 2021</w:t>
      </w:r>
      <w:r>
        <w:t>.</w:t>
      </w:r>
      <w:r w:rsidR="00AA3D8B">
        <w:t xml:space="preserve"> </w:t>
      </w:r>
      <w:r w:rsidR="001C215E">
        <w:t xml:space="preserve">This suggests that the illicit opium poppy cultivation accounted for </w:t>
      </w:r>
      <w:r w:rsidR="00080BF1">
        <w:t xml:space="preserve">some </w:t>
      </w:r>
      <w:r w:rsidR="00D34F79">
        <w:t>67</w:t>
      </w:r>
      <w:r w:rsidR="00080BF1">
        <w:t xml:space="preserve"> per cent of </w:t>
      </w:r>
      <w:r w:rsidR="001C215E">
        <w:t>of the total area under</w:t>
      </w:r>
      <w:r w:rsidR="000E6AE5">
        <w:t xml:space="preserve"> illicit and </w:t>
      </w:r>
      <w:r w:rsidR="001C215E">
        <w:t xml:space="preserve"> </w:t>
      </w:r>
      <w:r w:rsidR="00415C79">
        <w:t xml:space="preserve">licit </w:t>
      </w:r>
      <w:r w:rsidR="001C215E">
        <w:t xml:space="preserve">cultivation of opium and poppy straw in </w:t>
      </w:r>
      <w:r w:rsidR="007D6186">
        <w:t>2022</w:t>
      </w:r>
      <w:r w:rsidR="00AA3D8B">
        <w:t>.</w:t>
      </w:r>
      <w:r w:rsidR="001C215E">
        <w:t xml:space="preserve">     </w:t>
      </w:r>
    </w:p>
    <w:p w:rsidR="007A3D8B" w:rsidRDefault="003B6C29" w:rsidP="00C566ED">
      <w:r>
        <w:t xml:space="preserve">Alternatively, production of harvested opium straw may be converted into </w:t>
      </w:r>
      <w:r w:rsidR="00C566ED">
        <w:t xml:space="preserve">an estimate of </w:t>
      </w:r>
      <w:r>
        <w:t>opium equivalents.</w:t>
      </w:r>
      <w:r w:rsidR="00C566ED">
        <w:t xml:space="preserve"> One possibility is to calculate the morphine produced out of the poppy straw </w:t>
      </w:r>
      <w:r w:rsidR="007A3D8B">
        <w:t xml:space="preserve">(which is published in the INCB Narcotics Report) </w:t>
      </w:r>
      <w:r w:rsidR="00C566ED">
        <w:t xml:space="preserve">and then to find out how much opium would have been </w:t>
      </w:r>
      <w:r w:rsidR="007A3D8B">
        <w:t>(</w:t>
      </w:r>
      <w:r w:rsidR="00C566ED">
        <w:t>probably</w:t>
      </w:r>
      <w:r w:rsidR="007A3D8B">
        <w:t>)</w:t>
      </w:r>
      <w:r w:rsidR="00C566ED">
        <w:t xml:space="preserve"> needed to produce such amounts of morphine</w:t>
      </w:r>
      <w:r w:rsidR="007A3D8B">
        <w:t>. This can be done</w:t>
      </w:r>
      <w:r w:rsidR="00C566ED">
        <w:t xml:space="preserve"> based on the reported ratios of </w:t>
      </w:r>
      <w:r w:rsidR="007A3D8B">
        <w:t xml:space="preserve">the </w:t>
      </w:r>
      <w:r w:rsidR="00C566ED">
        <w:t>actual morphine manufactured out of opium at the global level</w:t>
      </w:r>
      <w:r w:rsidR="007A3D8B">
        <w:t>, again reported in the INCB Narcotics Report</w:t>
      </w:r>
      <w:r w:rsidR="00C566ED">
        <w:t xml:space="preserve">. </w:t>
      </w:r>
    </w:p>
    <w:p w:rsidR="007A3D8B" w:rsidRDefault="007A3D8B" w:rsidP="00C566ED">
      <w:r>
        <w:t>Calculations suggest that s</w:t>
      </w:r>
      <w:r w:rsidR="003B6C29">
        <w:t xml:space="preserve">uch </w:t>
      </w:r>
      <w:r>
        <w:t xml:space="preserve">global </w:t>
      </w:r>
      <w:r w:rsidR="003B6C29">
        <w:t xml:space="preserve">production </w:t>
      </w:r>
      <w:r>
        <w:t>of harvested opium straw</w:t>
      </w:r>
      <w:r w:rsidR="00A2371A">
        <w:t xml:space="preserve"> (used for the manufacture of heroin, and</w:t>
      </w:r>
      <w:r>
        <w:t xml:space="preserve"> based on preliminary estimates</w:t>
      </w:r>
      <w:r w:rsidR="00A2371A">
        <w:t>)</w:t>
      </w:r>
      <w:r>
        <w:t xml:space="preserve"> may </w:t>
      </w:r>
      <w:r w:rsidR="003B6C29">
        <w:t xml:space="preserve">have </w:t>
      </w:r>
      <w:r w:rsidR="00C566ED">
        <w:t xml:space="preserve">amounted to </w:t>
      </w:r>
      <w:r w:rsidR="003B6C29">
        <w:t xml:space="preserve">some </w:t>
      </w:r>
      <w:r w:rsidR="000D3B0E">
        <w:t>3,660</w:t>
      </w:r>
      <w:r w:rsidR="003B6C29">
        <w:t xml:space="preserve"> tons</w:t>
      </w:r>
      <w:r>
        <w:t xml:space="preserve">, expressed in </w:t>
      </w:r>
      <w:r w:rsidR="003B6C29">
        <w:t xml:space="preserve">opium </w:t>
      </w:r>
      <w:r w:rsidR="00C566ED">
        <w:t>equivalents</w:t>
      </w:r>
      <w:r>
        <w:t xml:space="preserve"> in </w:t>
      </w:r>
      <w:r w:rsidR="000D3B0E">
        <w:t>2022</w:t>
      </w:r>
      <w:r w:rsidR="00C566ED">
        <w:t>. This</w:t>
      </w:r>
      <w:r w:rsidR="003B6C29">
        <w:t xml:space="preserve"> means that the total licit </w:t>
      </w:r>
      <w:r w:rsidR="001376AA">
        <w:t xml:space="preserve">production of </w:t>
      </w:r>
      <w:r w:rsidR="006F708D">
        <w:t xml:space="preserve">(morphine related) </w:t>
      </w:r>
      <w:r w:rsidR="001376AA">
        <w:t>opiates</w:t>
      </w:r>
      <w:r w:rsidR="003B6C29">
        <w:t xml:space="preserve"> (</w:t>
      </w:r>
      <w:r w:rsidR="006F708D">
        <w:t xml:space="preserve">production of </w:t>
      </w:r>
      <w:r w:rsidR="003B6C29">
        <w:t xml:space="preserve">opium plus </w:t>
      </w:r>
      <w:r w:rsidR="006F708D">
        <w:t xml:space="preserve">production of </w:t>
      </w:r>
      <w:r w:rsidR="003B6C29">
        <w:t>poppy straw</w:t>
      </w:r>
      <w:r w:rsidR="006F708D">
        <w:t xml:space="preserve"> intended for morphine manu</w:t>
      </w:r>
      <w:r w:rsidR="00883CE5">
        <w:t>f</w:t>
      </w:r>
      <w:r w:rsidR="006F708D">
        <w:t>acture</w:t>
      </w:r>
      <w:r w:rsidR="003B6C29">
        <w:t>)</w:t>
      </w:r>
      <w:r w:rsidR="007D53F4">
        <w:t xml:space="preserve">, </w:t>
      </w:r>
      <w:r w:rsidR="00C566ED">
        <w:t xml:space="preserve">was </w:t>
      </w:r>
      <w:r w:rsidR="003B6C29">
        <w:t xml:space="preserve">equivalent to some </w:t>
      </w:r>
      <w:r w:rsidR="000515CC">
        <w:t>3,900</w:t>
      </w:r>
      <w:r w:rsidR="003B6C29">
        <w:t xml:space="preserve"> tons in </w:t>
      </w:r>
      <w:r w:rsidR="000515CC">
        <w:t>2022</w:t>
      </w:r>
      <w:r>
        <w:t xml:space="preserve"> (</w:t>
      </w:r>
      <w:r w:rsidR="008A7875">
        <w:t>3,656+216</w:t>
      </w:r>
      <w:r>
        <w:t xml:space="preserve"> tons)</w:t>
      </w:r>
      <w:r w:rsidR="00A2371A">
        <w:t xml:space="preserve"> expressed in opium equivalents.</w:t>
      </w:r>
      <w:r w:rsidR="003B6C29">
        <w:t xml:space="preserve"> Illicit opium production </w:t>
      </w:r>
      <w:r w:rsidR="006F708D">
        <w:t>(</w:t>
      </w:r>
      <w:r w:rsidR="003B6C29">
        <w:t xml:space="preserve">some </w:t>
      </w:r>
      <w:r w:rsidR="0015703B">
        <w:t xml:space="preserve">7,800 </w:t>
      </w:r>
      <w:r w:rsidR="003B6C29">
        <w:t xml:space="preserve"> tons</w:t>
      </w:r>
      <w:r w:rsidR="006F708D">
        <w:t xml:space="preserve">) </w:t>
      </w:r>
      <w:r w:rsidR="003B6C29">
        <w:t xml:space="preserve">was thus </w:t>
      </w:r>
      <w:r w:rsidR="00C566ED">
        <w:t xml:space="preserve">(again) </w:t>
      </w:r>
      <w:r w:rsidR="003B6C29">
        <w:t xml:space="preserve">equivalent to around </w:t>
      </w:r>
      <w:r w:rsidR="0015703B">
        <w:t>67</w:t>
      </w:r>
      <w:r w:rsidR="003B6C29">
        <w:t xml:space="preserve"> per cent of all opium production in </w:t>
      </w:r>
      <w:r w:rsidR="000578CD">
        <w:t>2022</w:t>
      </w:r>
      <w:r w:rsidR="00C566ED">
        <w:t xml:space="preserve"> (some </w:t>
      </w:r>
      <w:r w:rsidR="000578CD">
        <w:t xml:space="preserve">11,700 </w:t>
      </w:r>
      <w:r w:rsidR="00C566ED">
        <w:t xml:space="preserve"> tons)</w:t>
      </w:r>
      <w:r w:rsidR="003B6C29">
        <w:t xml:space="preserve">. </w:t>
      </w:r>
      <w:r w:rsidR="001376AA">
        <w:t xml:space="preserve"> </w:t>
      </w:r>
    </w:p>
    <w:p w:rsidR="00AF73C6" w:rsidRDefault="007D53F4" w:rsidP="00C566ED">
      <w:r>
        <w:lastRenderedPageBreak/>
        <w:t>T</w:t>
      </w:r>
      <w:r w:rsidR="005449EF">
        <w:t xml:space="preserve">hough </w:t>
      </w:r>
      <w:r w:rsidR="00546489">
        <w:t xml:space="preserve">among </w:t>
      </w:r>
      <w:r w:rsidR="005449EF">
        <w:t>the highest</w:t>
      </w:r>
      <w:r w:rsidR="003B6C29">
        <w:t xml:space="preserve"> such</w:t>
      </w:r>
      <w:r w:rsidR="005449EF">
        <w:t xml:space="preserve"> </w:t>
      </w:r>
      <w:r>
        <w:t xml:space="preserve">values </w:t>
      </w:r>
      <w:r w:rsidR="005449EF">
        <w:t>over the last two decades</w:t>
      </w:r>
      <w:r>
        <w:t xml:space="preserve"> (</w:t>
      </w:r>
      <w:r w:rsidR="00C566ED">
        <w:t xml:space="preserve">slightly </w:t>
      </w:r>
      <w:r>
        <w:t xml:space="preserve">higher </w:t>
      </w:r>
      <w:r w:rsidR="003B6C29">
        <w:t xml:space="preserve">values </w:t>
      </w:r>
      <w:r w:rsidR="004E02AB">
        <w:t xml:space="preserve">at the global level </w:t>
      </w:r>
      <w:r w:rsidR="003B6C29">
        <w:t xml:space="preserve">were </w:t>
      </w:r>
      <w:r w:rsidR="00A2371A">
        <w:t xml:space="preserve">only </w:t>
      </w:r>
      <w:r w:rsidR="003B6C29">
        <w:t>reported for 2017 and 2019)</w:t>
      </w:r>
      <w:r>
        <w:t>, such figures</w:t>
      </w:r>
      <w:r w:rsidR="00546489" w:rsidDel="00546489">
        <w:t xml:space="preserve"> </w:t>
      </w:r>
      <w:r w:rsidR="00CF277D">
        <w:t xml:space="preserve">are, nonetheless, </w:t>
      </w:r>
      <w:r w:rsidR="00F6629B">
        <w:t>significantly</w:t>
      </w:r>
      <w:r w:rsidR="00B338FD">
        <w:t xml:space="preserve"> lower </w:t>
      </w:r>
      <w:r w:rsidR="003D693D">
        <w:t xml:space="preserve">than the opium production </w:t>
      </w:r>
      <w:r w:rsidR="00CF277D">
        <w:t xml:space="preserve">estimates </w:t>
      </w:r>
      <w:r w:rsidR="003D693D">
        <w:t xml:space="preserve">reported for the year 1906/07 </w:t>
      </w:r>
      <w:r w:rsidR="00A41EEF">
        <w:t xml:space="preserve">(41,600 tons of opium) </w:t>
      </w:r>
      <w:r w:rsidR="00CF277D">
        <w:t xml:space="preserve">and </w:t>
      </w:r>
      <w:r w:rsidR="00C566ED">
        <w:t xml:space="preserve">are </w:t>
      </w:r>
      <w:r w:rsidR="00CF277D">
        <w:t xml:space="preserve">still less than the </w:t>
      </w:r>
      <w:r w:rsidR="00B338FD">
        <w:t xml:space="preserve">licit and illicit opium production </w:t>
      </w:r>
      <w:r w:rsidR="00CF277D">
        <w:t xml:space="preserve">estimates reported for </w:t>
      </w:r>
      <w:r w:rsidR="003D693D">
        <w:t>the year 1934</w:t>
      </w:r>
      <w:r w:rsidR="00A41EEF">
        <w:t xml:space="preserve"> (16,600 tons)</w:t>
      </w:r>
      <w:r>
        <w:t>.</w:t>
      </w:r>
      <w:r w:rsidR="00A26940">
        <w:t xml:space="preserve"> </w:t>
      </w:r>
      <w:r w:rsidR="003D693D">
        <w:t xml:space="preserve"> </w:t>
      </w:r>
      <w:r w:rsidR="00AF73C6">
        <w:t xml:space="preserve"> </w:t>
      </w:r>
    </w:p>
    <w:p w:rsidR="0087119C" w:rsidRDefault="00102A0D" w:rsidP="009603EF">
      <w:pPr>
        <w:keepNext/>
        <w:keepLines/>
        <w:jc w:val="center"/>
        <w:rPr>
          <w:b/>
          <w:bCs/>
        </w:rPr>
      </w:pPr>
      <w:r>
        <w:rPr>
          <w:b/>
          <w:bCs/>
        </w:rPr>
        <w:t xml:space="preserve">Figure: </w:t>
      </w:r>
      <w:r w:rsidR="0087119C" w:rsidRPr="009603EF">
        <w:rPr>
          <w:b/>
          <w:bCs/>
        </w:rPr>
        <w:t>Global opium production, 1906-</w:t>
      </w:r>
      <w:r w:rsidR="000961BE">
        <w:rPr>
          <w:b/>
          <w:bCs/>
        </w:rPr>
        <w:t>2022</w:t>
      </w:r>
    </w:p>
    <w:p w:rsidR="00670D99" w:rsidRDefault="00670D99" w:rsidP="009603EF">
      <w:pPr>
        <w:keepNext/>
        <w:keepLines/>
        <w:jc w:val="center"/>
        <w:rPr>
          <w:b/>
          <w:bCs/>
        </w:rPr>
      </w:pPr>
      <w:r>
        <w:rPr>
          <w:noProof/>
          <w:lang w:val="en-US" w:eastAsia="zh-CN"/>
        </w:rPr>
        <w:drawing>
          <wp:inline distT="0" distB="0" distL="0" distR="0">
            <wp:extent cx="5729605" cy="3741420"/>
            <wp:effectExtent l="0" t="0" r="4445" b="11430"/>
            <wp:docPr id="37" name="Chart 3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86DC6" w:rsidRPr="009603EF" w:rsidRDefault="00AB59F2" w:rsidP="009603EF">
      <w:pPr>
        <w:keepNext/>
        <w:keepLines/>
        <w:spacing w:before="0"/>
        <w:rPr>
          <w:sz w:val="18"/>
          <w:szCs w:val="18"/>
        </w:rPr>
      </w:pPr>
      <w:r w:rsidRPr="009603EF">
        <w:rPr>
          <w:sz w:val="18"/>
          <w:szCs w:val="18"/>
        </w:rPr>
        <w:t xml:space="preserve">Sources: UNODC calculations based on </w:t>
      </w:r>
      <w:r w:rsidR="00D86DC6" w:rsidRPr="009603EF">
        <w:rPr>
          <w:sz w:val="18"/>
          <w:szCs w:val="18"/>
        </w:rPr>
        <w:t xml:space="preserve">Report of the International Opium Commission, Shanghai, China, Feb. 1909, Vol. II,  INCB, </w:t>
      </w:r>
      <w:r w:rsidR="00D86DC6" w:rsidRPr="009603EF">
        <w:rPr>
          <w:i/>
          <w:iCs/>
          <w:sz w:val="18"/>
          <w:szCs w:val="18"/>
        </w:rPr>
        <w:t>Narcotic</w:t>
      </w:r>
      <w:r w:rsidRPr="009603EF">
        <w:rPr>
          <w:i/>
          <w:iCs/>
          <w:sz w:val="18"/>
          <w:szCs w:val="18"/>
        </w:rPr>
        <w:t xml:space="preserve"> Drugs 202</w:t>
      </w:r>
      <w:r w:rsidR="0013280F" w:rsidRPr="009603EF">
        <w:rPr>
          <w:i/>
          <w:iCs/>
          <w:sz w:val="18"/>
          <w:szCs w:val="18"/>
        </w:rPr>
        <w:t>1</w:t>
      </w:r>
      <w:r w:rsidRPr="009603EF">
        <w:rPr>
          <w:i/>
          <w:iCs/>
          <w:sz w:val="18"/>
          <w:szCs w:val="18"/>
        </w:rPr>
        <w:t xml:space="preserve"> -</w:t>
      </w:r>
      <w:r w:rsidR="00D86DC6" w:rsidRPr="009603EF">
        <w:rPr>
          <w:i/>
          <w:iCs/>
          <w:sz w:val="18"/>
          <w:szCs w:val="18"/>
        </w:rPr>
        <w:t xml:space="preserve"> Estimated World Requirements for 20</w:t>
      </w:r>
      <w:r w:rsidRPr="009603EF">
        <w:rPr>
          <w:i/>
          <w:iCs/>
          <w:sz w:val="18"/>
          <w:szCs w:val="18"/>
        </w:rPr>
        <w:t>2</w:t>
      </w:r>
      <w:r w:rsidR="0013280F" w:rsidRPr="009603EF">
        <w:rPr>
          <w:i/>
          <w:iCs/>
          <w:sz w:val="18"/>
          <w:szCs w:val="18"/>
        </w:rPr>
        <w:t>2</w:t>
      </w:r>
      <w:r w:rsidR="00D86DC6" w:rsidRPr="009603EF">
        <w:rPr>
          <w:i/>
          <w:iCs/>
          <w:sz w:val="18"/>
          <w:szCs w:val="18"/>
        </w:rPr>
        <w:t xml:space="preserve"> – Statistics for 20</w:t>
      </w:r>
      <w:r w:rsidR="0013280F" w:rsidRPr="009603EF">
        <w:rPr>
          <w:i/>
          <w:iCs/>
          <w:sz w:val="18"/>
          <w:szCs w:val="18"/>
        </w:rPr>
        <w:t>20</w:t>
      </w:r>
      <w:r w:rsidR="00D86DC6" w:rsidRPr="009603EF">
        <w:rPr>
          <w:sz w:val="18"/>
          <w:szCs w:val="18"/>
        </w:rPr>
        <w:t xml:space="preserve"> </w:t>
      </w:r>
      <w:r w:rsidRPr="009603EF">
        <w:rPr>
          <w:sz w:val="18"/>
          <w:szCs w:val="18"/>
        </w:rPr>
        <w:t>(</w:t>
      </w:r>
      <w:r w:rsidR="00D86DC6" w:rsidRPr="009603EF">
        <w:rPr>
          <w:sz w:val="18"/>
          <w:szCs w:val="18"/>
        </w:rPr>
        <w:t>and previous years</w:t>
      </w:r>
      <w:r w:rsidRPr="009603EF">
        <w:rPr>
          <w:sz w:val="18"/>
          <w:szCs w:val="18"/>
        </w:rPr>
        <w:t>)</w:t>
      </w:r>
      <w:r w:rsidR="00D86DC6" w:rsidRPr="009603EF">
        <w:rPr>
          <w:sz w:val="18"/>
          <w:szCs w:val="18"/>
        </w:rPr>
        <w:t xml:space="preserve">, UNODC, A Century of International Drug Control (2009), UNODC, </w:t>
      </w:r>
      <w:r w:rsidR="00D86DC6" w:rsidRPr="009603EF">
        <w:rPr>
          <w:i/>
          <w:iCs/>
          <w:sz w:val="18"/>
          <w:szCs w:val="18"/>
        </w:rPr>
        <w:t>World Drug Report 20</w:t>
      </w:r>
      <w:r w:rsidRPr="009603EF">
        <w:rPr>
          <w:i/>
          <w:iCs/>
          <w:sz w:val="18"/>
          <w:szCs w:val="18"/>
        </w:rPr>
        <w:t>2</w:t>
      </w:r>
      <w:r w:rsidR="00175A5D">
        <w:rPr>
          <w:i/>
          <w:iCs/>
          <w:sz w:val="18"/>
          <w:szCs w:val="18"/>
        </w:rPr>
        <w:t>3</w:t>
      </w:r>
      <w:r w:rsidR="00D86DC6" w:rsidRPr="009603EF">
        <w:rPr>
          <w:i/>
          <w:iCs/>
          <w:sz w:val="18"/>
          <w:szCs w:val="18"/>
        </w:rPr>
        <w:t xml:space="preserve"> </w:t>
      </w:r>
      <w:r w:rsidRPr="009603EF">
        <w:rPr>
          <w:i/>
          <w:iCs/>
          <w:sz w:val="18"/>
          <w:szCs w:val="18"/>
        </w:rPr>
        <w:t>(and</w:t>
      </w:r>
      <w:r w:rsidR="00D86DC6" w:rsidRPr="009603EF">
        <w:rPr>
          <w:sz w:val="18"/>
          <w:szCs w:val="18"/>
        </w:rPr>
        <w:t xml:space="preserve"> previous years</w:t>
      </w:r>
      <w:r w:rsidRPr="009603EF">
        <w:rPr>
          <w:sz w:val="18"/>
          <w:szCs w:val="18"/>
        </w:rPr>
        <w:t>)</w:t>
      </w:r>
      <w:r w:rsidR="00D86DC6" w:rsidRPr="009603EF">
        <w:rPr>
          <w:sz w:val="18"/>
          <w:szCs w:val="18"/>
        </w:rPr>
        <w:t>.</w:t>
      </w:r>
    </w:p>
    <w:p w:rsidR="005932B1" w:rsidRPr="00D662FD" w:rsidRDefault="005932B1" w:rsidP="00F16E68"/>
    <w:p w:rsidR="00880C4E" w:rsidRPr="0036585D" w:rsidRDefault="00006812" w:rsidP="00F16E68">
      <w:r w:rsidRPr="009603EF">
        <w:rPr>
          <w:b/>
          <w:bCs/>
        </w:rPr>
        <w:t>Coca cultivation</w:t>
      </w:r>
      <w:r w:rsidRPr="0085745A">
        <w:t xml:space="preserve"> estimates in the three main Andean coca producing countries </w:t>
      </w:r>
      <w:r w:rsidR="00E42687" w:rsidRPr="0085745A">
        <w:t>were</w:t>
      </w:r>
      <w:r w:rsidRPr="0085745A">
        <w:t xml:space="preserve"> available – at the time of </w:t>
      </w:r>
      <w:r w:rsidR="00CE1910" w:rsidRPr="0085745A">
        <w:t xml:space="preserve">drafting </w:t>
      </w:r>
      <w:r w:rsidRPr="0085745A">
        <w:t>the World Drug Repo</w:t>
      </w:r>
      <w:r w:rsidRPr="002E1D6F">
        <w:t xml:space="preserve">rt - up to the year </w:t>
      </w:r>
      <w:r w:rsidR="00314125">
        <w:t xml:space="preserve">2021 </w:t>
      </w:r>
      <w:r w:rsidR="00B513AC">
        <w:t xml:space="preserve"> for Colombia</w:t>
      </w:r>
      <w:r w:rsidR="002E7297">
        <w:t>, Peru</w:t>
      </w:r>
      <w:r w:rsidR="00B513AC">
        <w:t xml:space="preserve"> and the Plurinational State of Bolivia</w:t>
      </w:r>
      <w:r w:rsidR="002E7297">
        <w:t xml:space="preserve">. </w:t>
      </w:r>
      <w:r w:rsidR="00161F05" w:rsidRPr="0036585D">
        <w:t xml:space="preserve">Results for the year </w:t>
      </w:r>
      <w:r w:rsidR="00314125">
        <w:t xml:space="preserve">2022 </w:t>
      </w:r>
      <w:r w:rsidR="001E155F" w:rsidRPr="0036585D">
        <w:t xml:space="preserve"> </w:t>
      </w:r>
      <w:r w:rsidR="00161F05" w:rsidRPr="0036585D">
        <w:t>will be published on UNODC’s website as soon as the new reports will have been released</w:t>
      </w:r>
      <w:r w:rsidR="002E7297">
        <w:t>.</w:t>
      </w:r>
      <w:r w:rsidR="0025608C" w:rsidRPr="0036585D">
        <w:t xml:space="preserve"> </w:t>
      </w:r>
    </w:p>
    <w:p w:rsidR="00746BE9" w:rsidRPr="0036585D" w:rsidRDefault="00BC419E" w:rsidP="00F16E68">
      <w:r w:rsidRPr="0036585D">
        <w:lastRenderedPageBreak/>
        <w:t xml:space="preserve">Estimates of </w:t>
      </w:r>
      <w:r w:rsidRPr="009603EF">
        <w:rPr>
          <w:b/>
          <w:bCs/>
        </w:rPr>
        <w:t>cannabis cultivation</w:t>
      </w:r>
      <w:r w:rsidRPr="0036585D">
        <w:t xml:space="preserve"> </w:t>
      </w:r>
      <w:r w:rsidR="009F759D" w:rsidRPr="0036585D">
        <w:t xml:space="preserve">in </w:t>
      </w:r>
      <w:r w:rsidRPr="0036585D">
        <w:t>2009</w:t>
      </w:r>
      <w:r w:rsidR="009F759D" w:rsidRPr="0036585D">
        <w:t>, 2010, 2011 and 2012</w:t>
      </w:r>
      <w:r w:rsidRPr="0036585D">
        <w:t xml:space="preserve"> in Afghanistan, as well as cannabis cultivation in 2003, 2004 and 2005 in Morocco, were also produced by the UNODC-supported national monitoring systems</w:t>
      </w:r>
      <w:r w:rsidR="005F598B" w:rsidRPr="0036585D">
        <w:t xml:space="preserve"> and can be found on the UNODC website.</w:t>
      </w:r>
      <w:r w:rsidRPr="0036585D">
        <w:t xml:space="preserve"> </w:t>
      </w:r>
      <w:r w:rsidR="004B314C">
        <w:t xml:space="preserve">In addition, UNODC published in 2022 estimates of 6 major cannabis producing states in Nigeria for the year 2019. These estimates showed a total of 8,900 ha under cannabis cultivation. </w:t>
      </w:r>
      <w:r w:rsidR="00507DB7">
        <w:t xml:space="preserve">These estimates were thus lower than previous estimates for Morocco (72,000 ha for 2005), though within the range of the estimates published for Afghanistan (7,000-14,000 ha for 2012). </w:t>
      </w:r>
      <w:r w:rsidRPr="0036585D">
        <w:t xml:space="preserve">Estimates for other countries were drawn from ARQ replies and various other sources, including reports from Governments, UNODC field offices and the United States Department of State’s Bureau for International Narcotics and Law Enforcement Affairs. </w:t>
      </w:r>
    </w:p>
    <w:p w:rsidR="00BC419E" w:rsidRPr="0092693B" w:rsidRDefault="00BC419E" w:rsidP="00F16E68">
      <w:r w:rsidRPr="0036585D">
        <w:t xml:space="preserve">A full technical description of the methods used by UNODC-supported national monitoring systems can be found in the respective national survey reports available at </w:t>
      </w:r>
      <w:hyperlink r:id="rId29" w:history="1">
        <w:r w:rsidR="00C40AD7" w:rsidRPr="0092693B">
          <w:rPr>
            <w:rStyle w:val="a9"/>
          </w:rPr>
          <w:t>https://www.unodc.org/unodc/en/crop-monitoring/index.html</w:t>
        </w:r>
      </w:hyperlink>
      <w:r w:rsidR="00C40AD7" w:rsidRPr="0092693B">
        <w:t xml:space="preserve"> </w:t>
      </w:r>
    </w:p>
    <w:p w:rsidR="00BC419E" w:rsidRPr="009E2C12" w:rsidRDefault="00BC419E" w:rsidP="009603EF">
      <w:pPr>
        <w:pStyle w:val="2"/>
      </w:pPr>
      <w:bookmarkStart w:id="140" w:name="_Toc517172924"/>
      <w:bookmarkStart w:id="141" w:name="_Toc517173018"/>
      <w:bookmarkStart w:id="142" w:name="_Toc108702221"/>
      <w:r w:rsidRPr="009E2C12">
        <w:t>Net cultivation</w:t>
      </w:r>
      <w:bookmarkEnd w:id="140"/>
      <w:bookmarkEnd w:id="141"/>
      <w:bookmarkEnd w:id="142"/>
    </w:p>
    <w:p w:rsidR="00C20242" w:rsidRDefault="00BC419E" w:rsidP="00F16E68">
      <w:r w:rsidRPr="0092693B">
        <w:t xml:space="preserve">Not all the fields on which illicit crops are planted are actually harvested and contribute to drug production. For Afghanistan, a system of monitoring opium poppy eradication </w:t>
      </w:r>
      <w:r w:rsidR="00B76024">
        <w:t xml:space="preserve">was </w:t>
      </w:r>
      <w:r w:rsidRPr="0092693B">
        <w:t>in place</w:t>
      </w:r>
      <w:r w:rsidR="00B76024">
        <w:t xml:space="preserve"> until 2021</w:t>
      </w:r>
      <w:r w:rsidRPr="0092693B">
        <w:t xml:space="preserve"> which provide</w:t>
      </w:r>
      <w:r w:rsidR="00B76024">
        <w:t>d</w:t>
      </w:r>
      <w:r w:rsidRPr="0092693B">
        <w:t xml:space="preserve"> all necessary information to calculate the net cultivation area. </w:t>
      </w:r>
      <w:r w:rsidR="00C55E84">
        <w:t xml:space="preserve">Given the political changes this country, </w:t>
      </w:r>
      <w:r w:rsidR="009C6761">
        <w:t xml:space="preserve">the calculation of a net area under cultivation, however, was no longer </w:t>
      </w:r>
      <w:r w:rsidR="00930575">
        <w:t xml:space="preserve">possible </w:t>
      </w:r>
      <w:r w:rsidR="009C6761">
        <w:t>for 2022</w:t>
      </w:r>
      <w:r w:rsidR="00C73A9D">
        <w:t>, though actually reported eradication</w:t>
      </w:r>
      <w:r w:rsidR="00010190">
        <w:t>s</w:t>
      </w:r>
      <w:r w:rsidR="00C73A9D">
        <w:t xml:space="preserve"> in that year </w:t>
      </w:r>
      <w:r w:rsidR="00B65E91">
        <w:t>as well as year earlier</w:t>
      </w:r>
      <w:r w:rsidR="00F66061">
        <w:t xml:space="preserve"> (some 42 ha out of 177,</w:t>
      </w:r>
      <w:r w:rsidR="001D0D0B">
        <w:t>000 ha cultivation in 2021 and a similarly small proportion in 2022</w:t>
      </w:r>
      <w:r w:rsidR="00F66061">
        <w:t xml:space="preserve">)  </w:t>
      </w:r>
      <w:r w:rsidR="002F011E">
        <w:t>w</w:t>
      </w:r>
      <w:r w:rsidR="00010190">
        <w:t>ere</w:t>
      </w:r>
      <w:r w:rsidR="002F011E">
        <w:t xml:space="preserve"> so small that </w:t>
      </w:r>
      <w:r w:rsidR="001F4AC5">
        <w:t xml:space="preserve">they </w:t>
      </w:r>
      <w:r w:rsidR="002F011E">
        <w:t xml:space="preserve">did not </w:t>
      </w:r>
      <w:r w:rsidR="00C00184">
        <w:t xml:space="preserve">really </w:t>
      </w:r>
      <w:r w:rsidR="002F011E">
        <w:t xml:space="preserve">affect </w:t>
      </w:r>
      <w:r w:rsidR="00C00184">
        <w:t>comparability with previous years</w:t>
      </w:r>
      <w:r w:rsidR="00D504BB">
        <w:t xml:space="preserve"> cultivation estimates</w:t>
      </w:r>
      <w:r w:rsidR="009C6761">
        <w:t xml:space="preserve">. </w:t>
      </w:r>
    </w:p>
    <w:p w:rsidR="00831441" w:rsidRDefault="00BC419E" w:rsidP="00F16E68">
      <w:r w:rsidRPr="0092693B">
        <w:t xml:space="preserve">In Myanmar and the Lao People’s Democratic Republic, only the area of opium poppy eradicated before the annual opium survey is taken into account for the estimation of the cultivation area. Not enough information is available to consider eradication carried out after the time of the annual opium survey. </w:t>
      </w:r>
      <w:r w:rsidR="00C11D0C">
        <w:t xml:space="preserve">The </w:t>
      </w:r>
      <w:r w:rsidR="003E445B">
        <w:t xml:space="preserve">overall </w:t>
      </w:r>
      <w:r w:rsidR="00C11D0C">
        <w:t xml:space="preserve">area </w:t>
      </w:r>
      <w:r w:rsidR="001C292D">
        <w:t xml:space="preserve">eradicated, however, tends to be </w:t>
      </w:r>
      <w:r w:rsidR="008D3953">
        <w:t xml:space="preserve">rather </w:t>
      </w:r>
      <w:r w:rsidR="001C292D">
        <w:t>small</w:t>
      </w:r>
      <w:r w:rsidR="007A0C24">
        <w:t xml:space="preserve"> and so is the </w:t>
      </w:r>
      <w:r w:rsidR="00A75F08">
        <w:t xml:space="preserve">potential </w:t>
      </w:r>
      <w:r w:rsidR="007A0C24">
        <w:t>impact on the overall calculations</w:t>
      </w:r>
      <w:r w:rsidR="003E445B">
        <w:t xml:space="preserve"> of eradication</w:t>
      </w:r>
      <w:r w:rsidR="007A0C24">
        <w:t xml:space="preserve"> for </w:t>
      </w:r>
      <w:r w:rsidR="009C6108">
        <w:t xml:space="preserve">the latter two countries. </w:t>
      </w:r>
      <w:r w:rsidR="00086131">
        <w:t xml:space="preserve"> </w:t>
      </w:r>
      <w:r w:rsidR="00E16A12">
        <w:t>T</w:t>
      </w:r>
      <w:r w:rsidR="00086131">
        <w:t xml:space="preserve">he </w:t>
      </w:r>
      <w:r w:rsidR="00263848">
        <w:t xml:space="preserve">identified </w:t>
      </w:r>
      <w:r w:rsidR="00086131">
        <w:t xml:space="preserve">area under opium poppy cultivation in Myanmar </w:t>
      </w:r>
      <w:r w:rsidR="00263848">
        <w:t xml:space="preserve">was </w:t>
      </w:r>
      <w:r w:rsidR="00086131">
        <w:t>40,100 ha</w:t>
      </w:r>
      <w:r w:rsidR="00E16A12">
        <w:t xml:space="preserve"> for 2022</w:t>
      </w:r>
      <w:r w:rsidR="00086131">
        <w:t xml:space="preserve"> while the area eradicat</w:t>
      </w:r>
      <w:r w:rsidR="002F2BB4">
        <w:t xml:space="preserve">ed amounted to </w:t>
      </w:r>
      <w:r w:rsidR="000C7CDA">
        <w:t>1,404 ha</w:t>
      </w:r>
      <w:r w:rsidR="00E16A12">
        <w:t xml:space="preserve"> in that year</w:t>
      </w:r>
      <w:r w:rsidR="000C7CDA">
        <w:t>.</w:t>
      </w:r>
      <w:r w:rsidR="00263848">
        <w:t xml:space="preserve"> </w:t>
      </w:r>
      <w:r w:rsidR="003C2089">
        <w:t xml:space="preserve">The net cultivation area – </w:t>
      </w:r>
      <w:r w:rsidR="003C2089">
        <w:lastRenderedPageBreak/>
        <w:t xml:space="preserve">depending on the time eradication was actually taken place – could have been </w:t>
      </w:r>
      <w:r w:rsidR="001F43A7">
        <w:t xml:space="preserve">thus 0 to 1,404 ha or </w:t>
      </w:r>
      <w:r w:rsidR="000B7424">
        <w:t xml:space="preserve">0 </w:t>
      </w:r>
      <w:r w:rsidR="003C2089">
        <w:t xml:space="preserve">to </w:t>
      </w:r>
      <w:r w:rsidR="00DF0911">
        <w:t>3 per cent less</w:t>
      </w:r>
      <w:r w:rsidR="00B55520">
        <w:t xml:space="preserve"> </w:t>
      </w:r>
      <w:r w:rsidR="00DC64F1">
        <w:t>th</w:t>
      </w:r>
      <w:r w:rsidR="00B55520">
        <w:t>an th</w:t>
      </w:r>
      <w:r w:rsidR="001F43A7">
        <w:t xml:space="preserve">e </w:t>
      </w:r>
      <w:r w:rsidR="00B55520">
        <w:t>area reported</w:t>
      </w:r>
      <w:r w:rsidR="00B451AE">
        <w:t xml:space="preserve"> for opium poppy cultivation. Such a figure</w:t>
      </w:r>
      <w:r w:rsidR="00B55520">
        <w:t xml:space="preserve">, however, </w:t>
      </w:r>
      <w:r w:rsidR="00B451AE">
        <w:t xml:space="preserve">would </w:t>
      </w:r>
      <w:r w:rsidR="00B55520">
        <w:t xml:space="preserve">still </w:t>
      </w:r>
      <w:r w:rsidR="00815E2B">
        <w:t xml:space="preserve">fall </w:t>
      </w:r>
      <w:r w:rsidR="00B55520">
        <w:t xml:space="preserve">well within the </w:t>
      </w:r>
      <w:r w:rsidR="00815E2B">
        <w:t xml:space="preserve">overall </w:t>
      </w:r>
      <w:r w:rsidR="00B55520">
        <w:t xml:space="preserve">error margins </w:t>
      </w:r>
      <w:r w:rsidR="00A409BC">
        <w:t xml:space="preserve">of the </w:t>
      </w:r>
      <w:r w:rsidR="00B451AE">
        <w:t xml:space="preserve">reported </w:t>
      </w:r>
      <w:r w:rsidR="00A409BC">
        <w:t xml:space="preserve">area under opium poppy for Myanmar </w:t>
      </w:r>
      <w:r w:rsidR="001E7DC2">
        <w:t>(29,000 – 62,900 ha</w:t>
      </w:r>
      <w:r w:rsidR="00C20242">
        <w:t xml:space="preserve"> in 2022</w:t>
      </w:r>
      <w:r w:rsidR="001E7DC2">
        <w:t>)</w:t>
      </w:r>
      <w:r w:rsidR="00815E2B">
        <w:t>.</w:t>
      </w:r>
      <w:r w:rsidR="001E7DC2">
        <w:t xml:space="preserve"> </w:t>
      </w:r>
    </w:p>
    <w:p w:rsidR="00BC419E" w:rsidRPr="0092693B" w:rsidRDefault="00C563DD" w:rsidP="005B6662">
      <w:r>
        <w:t xml:space="preserve">The situation is </w:t>
      </w:r>
      <w:r w:rsidR="00623753">
        <w:t xml:space="preserve"> </w:t>
      </w:r>
      <w:r>
        <w:t xml:space="preserve">different for Mexico. Data presented </w:t>
      </w:r>
      <w:r w:rsidR="00D137EA">
        <w:t xml:space="preserve">here </w:t>
      </w:r>
      <w:r>
        <w:t xml:space="preserve">are based on the area </w:t>
      </w:r>
      <w:r w:rsidR="00C5391F">
        <w:t>sown</w:t>
      </w:r>
      <w:r w:rsidR="00FC43DD">
        <w:t xml:space="preserve"> with opium poppy</w:t>
      </w:r>
      <w:r w:rsidR="00C5391F">
        <w:t xml:space="preserve"> (</w:t>
      </w:r>
      <w:r w:rsidR="00076456">
        <w:t>24,100 ha</w:t>
      </w:r>
      <w:r w:rsidR="00623753">
        <w:t xml:space="preserve"> in the season 2019/20</w:t>
      </w:r>
      <w:r w:rsidR="00076456">
        <w:t>)</w:t>
      </w:r>
      <w:r w:rsidR="00FC43DD">
        <w:t>. Based on official data</w:t>
      </w:r>
      <w:r w:rsidR="00CA49E2">
        <w:t xml:space="preserve"> </w:t>
      </w:r>
      <w:r w:rsidR="00413AFE">
        <w:t xml:space="preserve">provided </w:t>
      </w:r>
      <w:r w:rsidR="00CA49E2">
        <w:t>by the authorities</w:t>
      </w:r>
      <w:r w:rsidR="00FC43DD">
        <w:t xml:space="preserve">, </w:t>
      </w:r>
      <w:r w:rsidR="001849EE">
        <w:t>11,7</w:t>
      </w:r>
      <w:r w:rsidR="0029148F">
        <w:t>47</w:t>
      </w:r>
      <w:r w:rsidR="001849EE">
        <w:t xml:space="preserve"> ha</w:t>
      </w:r>
      <w:r w:rsidR="0009723F">
        <w:t xml:space="preserve"> of the area under opium poppy cultivation</w:t>
      </w:r>
      <w:r w:rsidR="0029148F">
        <w:t xml:space="preserve"> </w:t>
      </w:r>
      <w:r w:rsidR="001D1D04">
        <w:t xml:space="preserve">were </w:t>
      </w:r>
      <w:r w:rsidR="0029148F">
        <w:t>destroyed</w:t>
      </w:r>
      <w:r w:rsidR="00364DD5">
        <w:t xml:space="preserve"> in </w:t>
      </w:r>
      <w:r w:rsidR="00413AFE">
        <w:t>Mexico in</w:t>
      </w:r>
      <w:r w:rsidR="00D33904">
        <w:t xml:space="preserve"> 2020</w:t>
      </w:r>
      <w:r w:rsidR="00645393">
        <w:t xml:space="preserve"> (and a figure of similar magnitude over the 2019/20 period)</w:t>
      </w:r>
      <w:r w:rsidR="00B97151">
        <w:t xml:space="preserve">, </w:t>
      </w:r>
      <w:r w:rsidR="00583AF7">
        <w:t xml:space="preserve">i.e. </w:t>
      </w:r>
      <w:r w:rsidR="00B97151">
        <w:t>a far higher proportion than in Afghanistan or Myanmar</w:t>
      </w:r>
      <w:r w:rsidR="0029148F">
        <w:t xml:space="preserve">. </w:t>
      </w:r>
      <w:r w:rsidR="001849EE">
        <w:t xml:space="preserve"> </w:t>
      </w:r>
      <w:r w:rsidR="005B6662">
        <w:t xml:space="preserve"> </w:t>
      </w:r>
      <w:r w:rsidR="00BC419E" w:rsidRPr="0085745A">
        <w:t>A major difference between coca and other narcotic plants such as opium poppy and cannabis is that the coca bush is a perennial plant which can be harvested several times per year. This longevity of the coca plant should, in principle, make it easier to measure the area under coca cultivation. In reality, the area under coca cultivation is dynamic</w:t>
      </w:r>
      <w:r w:rsidR="003F2039" w:rsidRPr="002E1D6F">
        <w:t>, making</w:t>
      </w:r>
      <w:r w:rsidR="00BC419E" w:rsidRPr="002E1D6F">
        <w:t xml:space="preserve"> it difficult to determine the exact amount of land under coca cultivation at any specific point in time or wit</w:t>
      </w:r>
      <w:r w:rsidR="00BC419E" w:rsidRPr="0036585D">
        <w:t xml:space="preserve">hin a given year. There are several reasons why coca cultivation is so dynamic, including new plantation, </w:t>
      </w:r>
      <w:r w:rsidR="000E26FE" w:rsidRPr="0036585D">
        <w:t xml:space="preserve">abandonment, </w:t>
      </w:r>
      <w:r w:rsidR="00BC419E" w:rsidRPr="0036585D">
        <w:t xml:space="preserve">reactivation of previously abandoned fields, </w:t>
      </w:r>
      <w:r w:rsidR="000E26FE" w:rsidRPr="0036585D">
        <w:t>m</w:t>
      </w:r>
      <w:r w:rsidR="00BC419E" w:rsidRPr="0036585D">
        <w:t>anual eradication and aerial spraying.</w:t>
      </w:r>
      <w:r w:rsidR="00BC419E" w:rsidRPr="0092693B">
        <w:rPr>
          <w:rStyle w:val="a4"/>
        </w:rPr>
        <w:footnoteReference w:id="15"/>
      </w:r>
      <w:r w:rsidR="00BC419E" w:rsidRPr="0092693B">
        <w:t xml:space="preserve"> </w:t>
      </w:r>
    </w:p>
    <w:p w:rsidR="00BC419E" w:rsidRPr="0036585D" w:rsidRDefault="00BC419E" w:rsidP="00F16E68">
      <w:r w:rsidRPr="0092693B">
        <w:t xml:space="preserve">The issue of different area concepts and data sources used to monitor illicit coca bush cultivation </w:t>
      </w:r>
      <w:r w:rsidR="005F24A2" w:rsidRPr="0092693B">
        <w:t xml:space="preserve">was </w:t>
      </w:r>
      <w:r w:rsidR="00D51425" w:rsidRPr="0085745A">
        <w:t xml:space="preserve">repeatedly </w:t>
      </w:r>
      <w:r w:rsidRPr="0085745A">
        <w:t>investigated by UNODC.</w:t>
      </w:r>
      <w:r w:rsidRPr="0092693B">
        <w:rPr>
          <w:rStyle w:val="a4"/>
        </w:rPr>
        <w:footnoteReference w:id="16"/>
      </w:r>
      <w:r w:rsidRPr="0092693B">
        <w:t xml:space="preserve"> To improve the comparability of estimates between countries</w:t>
      </w:r>
      <w:r w:rsidR="00645C55" w:rsidRPr="0092693B">
        <w:t xml:space="preserve"> and years</w:t>
      </w:r>
      <w:r w:rsidRPr="0092693B">
        <w:t xml:space="preserve">, </w:t>
      </w:r>
      <w:r w:rsidR="00D95D31" w:rsidRPr="0092693B">
        <w:t>since</w:t>
      </w:r>
      <w:r w:rsidRPr="0085745A">
        <w:t xml:space="preserve"> 2011 net coca cultivation area at 31 of December is presented not only for Colombia but also for Peru. For technical reasons, the initial area measurement of coca fields takes place on satellite images acquired at different dates of the year and sometimes having different technical specifications. </w:t>
      </w:r>
      <w:r w:rsidR="00C336C7" w:rsidRPr="002E1D6F">
        <w:t>For the Plurinational State of Bolivia, in contrast, most satellite images are taken close to the 31 of December in order to reduce potential errors linked to subsequent eradication. In any case, f</w:t>
      </w:r>
      <w:r w:rsidRPr="002E1D6F">
        <w:t>or the Bolivian and Peruvian estimate, these difference</w:t>
      </w:r>
      <w:r w:rsidR="003F2039" w:rsidRPr="0036585D">
        <w:t>s</w:t>
      </w:r>
      <w:r w:rsidRPr="0036585D">
        <w:t xml:space="preserve"> are considered to have a limited effect </w:t>
      </w:r>
      <w:r w:rsidRPr="0036585D">
        <w:lastRenderedPageBreak/>
        <w:t xml:space="preserve">only, whereas the dynamic situation in Colombia requires </w:t>
      </w:r>
      <w:r w:rsidR="00C336C7" w:rsidRPr="0036585D">
        <w:t xml:space="preserve">more </w:t>
      </w:r>
      <w:r w:rsidRPr="0036585D">
        <w:t>adjustment</w:t>
      </w:r>
      <w:r w:rsidR="00C336C7" w:rsidRPr="0036585D">
        <w:t>s</w:t>
      </w:r>
      <w:r w:rsidRPr="0036585D">
        <w:t xml:space="preserve"> to maintain year-on-year comparability. </w:t>
      </w:r>
      <w:r w:rsidR="00D95D31" w:rsidRPr="0036585D">
        <w:t xml:space="preserve">For </w:t>
      </w:r>
      <w:r w:rsidR="00AE5BAA" w:rsidRPr="0036585D">
        <w:t xml:space="preserve">more </w:t>
      </w:r>
      <w:r w:rsidR="00D95D31" w:rsidRPr="0036585D">
        <w:t>details, please see the country specific reports.</w:t>
      </w:r>
    </w:p>
    <w:p w:rsidR="00BC419E" w:rsidRPr="009E2C12" w:rsidRDefault="00BC419E" w:rsidP="009603EF">
      <w:pPr>
        <w:pStyle w:val="2"/>
      </w:pPr>
      <w:bookmarkStart w:id="143" w:name="_Toc517172925"/>
      <w:bookmarkStart w:id="144" w:name="_Toc517173019"/>
      <w:bookmarkStart w:id="145" w:name="_Toc108702222"/>
      <w:r w:rsidRPr="009E2C12">
        <w:t>Indirect estimation of illicit opium poppy cultivation</w:t>
      </w:r>
      <w:bookmarkEnd w:id="143"/>
      <w:bookmarkEnd w:id="144"/>
      <w:bookmarkEnd w:id="145"/>
      <w:r w:rsidRPr="009E2C12">
        <w:t xml:space="preserve"> </w:t>
      </w:r>
    </w:p>
    <w:p w:rsidR="00D166BB" w:rsidRPr="0085745A" w:rsidRDefault="00BC419E" w:rsidP="00F16E68">
      <w:r w:rsidRPr="0092693B">
        <w:t xml:space="preserve">Eradication and plant seizure reports indicate that illicit opium poppy cultivation exists in many countries, which do not regularly conduct illicit crop surveys. Starting 2008 a new methodology was introduced to estimate the extent of this illicit cultivation with an indirect method based on two indicators available in UNODC’s databases: eradicated poppy area and opium poppy (plant, capsule) seizures reported as units or weight. </w:t>
      </w:r>
    </w:p>
    <w:p w:rsidR="00945BA7" w:rsidRPr="0092693B" w:rsidRDefault="00BC419E" w:rsidP="00F16E68">
      <w:r w:rsidRPr="0085745A">
        <w:rPr>
          <w:i/>
          <w:iCs/>
        </w:rPr>
        <w:t>Prioritization of data sources:</w:t>
      </w:r>
      <w:r w:rsidRPr="002E1D6F">
        <w:t xml:space="preserve"> Whenever possible, the eradicated poppy area was used as this indicator is conceptually closest. If this indicator was not available, poppy plant seizure data was used, which requires an additional conversion of the seized amount into area eradicated. It can be assumed that plant seizures are often a different way of recording eradi</w:t>
      </w:r>
      <w:r w:rsidRPr="0036585D">
        <w:t>cation. e.g. in cases where area measurements are technically difficult or because the law requires all seized material to be weighed even if the seizure consist</w:t>
      </w:r>
      <w:r w:rsidR="003F2039" w:rsidRPr="0036585D">
        <w:t>s</w:t>
      </w:r>
      <w:r w:rsidRPr="0036585D">
        <w:t xml:space="preserve"> actually of eradicat</w:t>
      </w:r>
      <w:r w:rsidR="002D45D0" w:rsidRPr="0036585D">
        <w:t>ed</w:t>
      </w:r>
      <w:r w:rsidRPr="0036585D">
        <w:t xml:space="preserve"> plants on a field. Large-scale or long-distance illicit trade with opium poppy plants is unlikely as the plants are bulky, perishable and of low value. </w:t>
      </w:r>
    </w:p>
    <w:p w:rsidR="00945BA7" w:rsidRPr="0092693B" w:rsidRDefault="00BC419E" w:rsidP="00F16E68">
      <w:r w:rsidRPr="0092693B">
        <w:rPr>
          <w:i/>
          <w:iCs/>
        </w:rPr>
        <w:t xml:space="preserve">Eradication factor: </w:t>
      </w:r>
      <w:r w:rsidRPr="0092693B">
        <w:t>Evidence from countries which provide both illicit cultivation and eradication data indicates that illicit cultivation is typically a multiple of the area eradicated. This relationship, averaged over</w:t>
      </w:r>
      <w:r w:rsidRPr="0085745A">
        <w:t xml:space="preserve"> the last five years for which information is available, was used to calculate a factor which allowed to estimate illicit cultivation in countries from eradication figures. Since 2008, this factor is based on opium poppy cultivation and eradication data from Colombia, Lao People’s Republic, Mexico, Myanmar, Pakistan</w:t>
      </w:r>
      <w:r w:rsidR="0004677F">
        <w:t xml:space="preserve">, </w:t>
      </w:r>
      <w:r w:rsidRPr="0085745A">
        <w:t>Thailand</w:t>
      </w:r>
      <w:r w:rsidR="0004677F">
        <w:t xml:space="preserve"> and Guatemala</w:t>
      </w:r>
      <w:r w:rsidRPr="0085745A">
        <w:t xml:space="preserve">. </w:t>
      </w:r>
      <w:r w:rsidR="007A0007" w:rsidRPr="002E1D6F">
        <w:t xml:space="preserve">Over the years, the average over these five </w:t>
      </w:r>
      <w:r w:rsidR="003F2039" w:rsidRPr="0036585D">
        <w:t>countries ranged</w:t>
      </w:r>
      <w:r w:rsidRPr="0036585D">
        <w:t xml:space="preserve"> between 2.1 and 3.</w:t>
      </w:r>
      <w:r w:rsidR="00A21CE9">
        <w:t>7</w:t>
      </w:r>
      <w:r w:rsidRPr="0036585D">
        <w:t xml:space="preserve">(eradicated area </w:t>
      </w:r>
      <w:r w:rsidR="00945334" w:rsidRPr="0036585D">
        <w:t>*</w:t>
      </w:r>
      <w:r w:rsidRPr="0036585D">
        <w:t xml:space="preserve"> factor = net cultivation area). </w:t>
      </w:r>
      <w:r w:rsidR="004321FF" w:rsidRPr="0036585D">
        <w:t>(</w:t>
      </w:r>
      <w:r w:rsidRPr="0036585D">
        <w:t>Afghanistan was not considered for the calculation of the factor as the objective was to estimate low to mid-levels of illicit cultivation. Afghanistan, representing two thirds or more of global illicit poppy cultivation, clearly fell outside this range</w:t>
      </w:r>
      <w:r w:rsidR="004321FF" w:rsidRPr="0036585D">
        <w:t>)</w:t>
      </w:r>
      <w:r w:rsidRPr="0036585D">
        <w:t xml:space="preserve">. </w:t>
      </w:r>
    </w:p>
    <w:p w:rsidR="00BC419E" w:rsidRPr="0085745A" w:rsidRDefault="00BC419E" w:rsidP="00F16E68">
      <w:r w:rsidRPr="0092693B">
        <w:rPr>
          <w:i/>
          <w:iCs/>
        </w:rPr>
        <w:t xml:space="preserve">Plant seizures: </w:t>
      </w:r>
      <w:r w:rsidRPr="0092693B">
        <w:t>seizures of</w:t>
      </w:r>
      <w:r w:rsidRPr="0085745A">
        <w:t xml:space="preserve"> poppy plant material usually happen close to the source, i.e. in vicinity of </w:t>
      </w:r>
      <w:r w:rsidRPr="003F7DAD">
        <w:t>the cultivat</w:t>
      </w:r>
      <w:r w:rsidR="003F2039" w:rsidRPr="003F7DAD">
        <w:t>ed</w:t>
      </w:r>
      <w:r w:rsidRPr="003F7DAD">
        <w:t xml:space="preserve"> area. The </w:t>
      </w:r>
      <w:r w:rsidR="00DB074A" w:rsidRPr="003F7DAD">
        <w:t>data</w:t>
      </w:r>
      <w:r w:rsidRPr="003F7DAD">
        <w:t xml:space="preserve"> available </w:t>
      </w:r>
      <w:r w:rsidR="00F453F7" w:rsidRPr="003F7DAD">
        <w:t>to</w:t>
      </w:r>
      <w:r w:rsidRPr="003F7DAD">
        <w:t xml:space="preserve"> UNODC does not allow to</w:t>
      </w:r>
      <w:r w:rsidR="00F453F7" w:rsidRPr="003F7DAD">
        <w:t xml:space="preserve"> accurately and </w:t>
      </w:r>
      <w:r w:rsidR="00F453F7" w:rsidRPr="003F7DAD">
        <w:lastRenderedPageBreak/>
        <w:t xml:space="preserve">systematically differentiate between </w:t>
      </w:r>
      <w:r w:rsidRPr="003F7DAD">
        <w:t>the</w:t>
      </w:r>
      <w:r w:rsidR="00F453F7" w:rsidRPr="003F7DAD">
        <w:t xml:space="preserve"> various</w:t>
      </w:r>
      <w:r w:rsidRPr="003F7DAD">
        <w:t xml:space="preserve"> parts</w:t>
      </w:r>
      <w:r w:rsidR="00F453F7" w:rsidRPr="003F7DAD">
        <w:t xml:space="preserve"> (capsules, bulbs, entire plants)</w:t>
      </w:r>
      <w:r w:rsidRPr="003F7DAD">
        <w:t xml:space="preserve"> of the plant seized </w:t>
      </w:r>
      <w:r w:rsidR="003F2039" w:rsidRPr="003F7DAD">
        <w:t>as for</w:t>
      </w:r>
      <w:r w:rsidRPr="003F7DAD">
        <w:t xml:space="preserve"> plant seizures.</w:t>
      </w:r>
      <w:r w:rsidRPr="0092693B">
        <w:t xml:space="preserve"> Most (roots, stem, leaves, capsules) or only some parts (poppy straw, capsules only)</w:t>
      </w:r>
      <w:r w:rsidR="00F453F7" w:rsidRPr="0092693B">
        <w:t xml:space="preserve"> of the plant</w:t>
      </w:r>
      <w:r w:rsidRPr="0092693B">
        <w:t xml:space="preserve"> may be seized. While this does not influence seizure data given in plant units, it plays a role when interpreting seizure data given as weight</w:t>
      </w:r>
    </w:p>
    <w:p w:rsidR="00BC419E" w:rsidRPr="0036585D" w:rsidRDefault="00BC419E" w:rsidP="00F16E68">
      <w:r w:rsidRPr="002E1D6F">
        <w:rPr>
          <w:i/>
          <w:iCs/>
        </w:rPr>
        <w:t xml:space="preserve">Plant seizure data in units </w:t>
      </w:r>
      <w:r w:rsidRPr="002E1D6F">
        <w:t>represent plant numbers, which can be converted into area (ha) using an average number of opium poppy plants per hectare. Yield measurements from Af</w:t>
      </w:r>
      <w:r w:rsidRPr="0036585D">
        <w:t xml:space="preserve">ghanistan and Myanmar, where UNODC has conducted yield surveys over several years, indicate an average figure of about 190,000 plants per hectare. Dividing poppy plant seizure numbers by this factor results in estimate of the area on which the seized material was cultivated. This is equivalent to eradicated area, as the seized material was taken out of the production cycle. Eradicated area multiplied with the eradication factor described above yields then cultivation area. </w:t>
      </w:r>
    </w:p>
    <w:p w:rsidR="00676AF1" w:rsidRPr="0085745A" w:rsidRDefault="00BC419E" w:rsidP="00F16E68">
      <w:r w:rsidRPr="0036585D">
        <w:rPr>
          <w:i/>
          <w:iCs/>
        </w:rPr>
        <w:t xml:space="preserve">Plant seizure data reported as weight: </w:t>
      </w:r>
      <w:r w:rsidRPr="0036585D">
        <w:t>In order to convert the weight of seized poppy plants into area, a typical biomass per hectare of poppy was estimated based on the evaluation of various sources. The biomass yield in oven-dry equivalent including stem, leaves, capsule and seeds reported by a commercial licit opium poppy grower in Spain</w:t>
      </w:r>
      <w:r w:rsidRPr="0092693B">
        <w:rPr>
          <w:rStyle w:val="a4"/>
        </w:rPr>
        <w:footnoteReference w:id="17"/>
      </w:r>
      <w:r w:rsidRPr="0092693B">
        <w:t xml:space="preserve"> was 2,800 kg/ha for rain-fed and 7,</w:t>
      </w:r>
      <w:r w:rsidR="008C51F1" w:rsidRPr="0092693B">
        <w:t>8</w:t>
      </w:r>
      <w:r w:rsidRPr="0092693B">
        <w:t>00 kg/ha for irrigated fields respectively. Information on the weight of roots was not available. Loewe</w:t>
      </w:r>
      <w:r w:rsidRPr="0092693B">
        <w:rPr>
          <w:rStyle w:val="a4"/>
        </w:rPr>
        <w:footnoteReference w:id="18"/>
      </w:r>
      <w:r w:rsidRPr="0092693B">
        <w:t xml:space="preserve"> found biomass yields between 3,921 kg/ha to 5,438 kg/ha in trial cultivation under greenhouse conditions. Acock et al.</w:t>
      </w:r>
      <w:r w:rsidRPr="0092693B">
        <w:rPr>
          <w:rStyle w:val="a4"/>
        </w:rPr>
        <w:footnoteReference w:id="19"/>
      </w:r>
      <w:r w:rsidRPr="0092693B">
        <w:t xml:space="preserve"> found oven-dry plant weights of about 37 grams including roots in trials under controlled conditions corresponding to a biomass yield of around 7,000 kg/ha with the assumed plant density of 190,000/ha. Among the </w:t>
      </w:r>
      <w:r w:rsidRPr="0092693B">
        <w:lastRenderedPageBreak/>
        <w:t>available biomass measurements only the figures from Spain referred to poppy grown under field conditions. All other results fell into the range between the non-irrigated and irrigated biomass yields (2,800 – 7,</w:t>
      </w:r>
      <w:r w:rsidR="008C51F1" w:rsidRPr="0092693B">
        <w:t>8</w:t>
      </w:r>
      <w:r w:rsidRPr="0092693B">
        <w:t xml:space="preserve">00 kg/ha) reported. For purposes of this calculation the simple average of </w:t>
      </w:r>
      <w:r w:rsidRPr="0085745A">
        <w:t>these two values was taken.</w:t>
      </w:r>
    </w:p>
    <w:p w:rsidR="00BC419E" w:rsidRPr="0036585D" w:rsidRDefault="00BC419E" w:rsidP="00F16E68">
      <w:r w:rsidRPr="002E1D6F">
        <w:t xml:space="preserve">Two caveats have to be made: a) As the reporting format does not differentiate between capsules and plants or between the different growth stages of a poppy plant, it was assumed </w:t>
      </w:r>
      <w:r w:rsidRPr="0036585D">
        <w:t>that the reported weight refers to whole, mature plants. This leads to a conservative estimate as many plant seizures are actually carried out on fields before the poppy plants reach maturity. b) The reference biomass measurements from scientific studies are expressed in oven-dried equivalents, whereas the reported weights could refer to fresh weight or air-dry weight; both of which are higher than the oven-dry equivalent weight equivalent. This would lead to an over-estimation of the illicit cultivation area. In the case of young plants, which are typically fresh but not yet fully grown, both errors could balance off, whereas in the case of mature or harvested plants, which tend to be drier, both errors would be smaller.</w:t>
      </w:r>
    </w:p>
    <w:p w:rsidR="00BC419E" w:rsidRPr="0036585D" w:rsidRDefault="007076A0" w:rsidP="00F16E68">
      <w:r w:rsidRPr="0036585D">
        <w:t xml:space="preserve">In order to avoid the fluctuations typically present in </w:t>
      </w:r>
      <w:r w:rsidR="00DD7F56" w:rsidRPr="0036585D">
        <w:t xml:space="preserve">seizure and </w:t>
      </w:r>
      <w:r w:rsidRPr="0036585D">
        <w:t xml:space="preserve">eradication data, the above calculations were based on </w:t>
      </w:r>
      <w:r w:rsidR="00DD7F56" w:rsidRPr="0036585D">
        <w:t>plant seizures averaged</w:t>
      </w:r>
      <w:r w:rsidRPr="0036585D">
        <w:t xml:space="preserve"> over the most recent </w:t>
      </w:r>
      <w:r w:rsidR="00DD7F56" w:rsidRPr="0036585D">
        <w:t xml:space="preserve">five-year period, rather than datapoints relative to the specific year. </w:t>
      </w:r>
      <w:r w:rsidR="00BC419E" w:rsidRPr="0036585D">
        <w:t>If no eradication or plant seizure was reported in that period, no value was calculated.</w:t>
      </w:r>
    </w:p>
    <w:p w:rsidR="004715AA" w:rsidRPr="0036585D" w:rsidRDefault="004715AA" w:rsidP="00F16E68"/>
    <w:p w:rsidR="00BC419E" w:rsidRPr="009E2C12" w:rsidRDefault="00BC419E" w:rsidP="009603EF">
      <w:pPr>
        <w:pStyle w:val="2"/>
      </w:pPr>
      <w:bookmarkStart w:id="146" w:name="_Toc517172926"/>
      <w:bookmarkStart w:id="147" w:name="_Toc517173020"/>
      <w:bookmarkStart w:id="148" w:name="_Toc108702223"/>
      <w:r w:rsidRPr="009E2C12">
        <w:t>Yield</w:t>
      </w:r>
      <w:r w:rsidR="00CC6994">
        <w:t xml:space="preserve"> </w:t>
      </w:r>
      <w:r w:rsidRPr="009E2C12">
        <w:t>and production</w:t>
      </w:r>
      <w:bookmarkEnd w:id="146"/>
      <w:bookmarkEnd w:id="147"/>
      <w:bookmarkEnd w:id="148"/>
    </w:p>
    <w:p w:rsidR="00BC419E" w:rsidRPr="0092693B" w:rsidRDefault="00BC419E" w:rsidP="00F16E68">
      <w:r w:rsidRPr="0092693B">
        <w:t>To estimate potential production of opium, coca leaf and cannabis (herb and resin), the number of harvests per year and the total yield of primary plant material has to be established. The UNODC-supported national surveys take measurements in the field and conduct interviews with farmers, using results from both to produce the final data on yield.</w:t>
      </w:r>
      <w:r w:rsidR="00A031FC" w:rsidRPr="00A031FC">
        <w:rPr>
          <w:rStyle w:val="a4"/>
          <w:i/>
          <w:iCs/>
          <w:sz w:val="26"/>
          <w:szCs w:val="26"/>
        </w:rPr>
        <w:t xml:space="preserve"> </w:t>
      </w:r>
      <w:r w:rsidR="00A031FC" w:rsidRPr="009E2C12">
        <w:rPr>
          <w:rStyle w:val="a4"/>
          <w:i/>
          <w:iCs/>
          <w:sz w:val="26"/>
          <w:szCs w:val="26"/>
        </w:rPr>
        <w:footnoteReference w:id="20"/>
      </w:r>
    </w:p>
    <w:p w:rsidR="00BC419E" w:rsidRPr="0036585D" w:rsidRDefault="00BC419E" w:rsidP="00F16E68">
      <w:r w:rsidRPr="0092693B">
        <w:lastRenderedPageBreak/>
        <w:t xml:space="preserve">Opium yield surveys are complex. Harvesting opium with the traditional lancing method can take up to two weeks as the opium latex that oozes out of </w:t>
      </w:r>
      <w:r w:rsidRPr="0085745A">
        <w:t>the poppy capsule has to dry before harvesters can scrape it off and several lancings take place until the plant has dried. To avoid this lengthy process, yield surveyors measure the number of poppy capsules and their size in sample plots. Using a scientifically developed formula, the measured poppy capsule volume indicates how much opium gum each plant potentially yields. Thus, the per hectare opium yield can be estimated. Different formulas were developed fo</w:t>
      </w:r>
      <w:r w:rsidRPr="002E1D6F">
        <w:t>r South-East and South-West Asia. In Afghanistan</w:t>
      </w:r>
      <w:r w:rsidR="004E2980" w:rsidRPr="002E1D6F">
        <w:t xml:space="preserve">, </w:t>
      </w:r>
      <w:r w:rsidRPr="0036585D">
        <w:t>yield surveys are carried out annually</w:t>
      </w:r>
      <w:r w:rsidR="002D45D0" w:rsidRPr="0036585D">
        <w:t xml:space="preserve">; </w:t>
      </w:r>
      <w:r w:rsidR="00EA0CDE" w:rsidRPr="0036585D">
        <w:t xml:space="preserve">in </w:t>
      </w:r>
      <w:r w:rsidR="002D45D0" w:rsidRPr="0036585D">
        <w:t>Myanmar regularly</w:t>
      </w:r>
      <w:r w:rsidRPr="0036585D">
        <w:t>.</w:t>
      </w:r>
    </w:p>
    <w:p w:rsidR="00945BA7" w:rsidRPr="0092693B" w:rsidRDefault="00BC419E" w:rsidP="00F16E68">
      <w:r w:rsidRPr="0036585D">
        <w:t xml:space="preserve">For coca bush, the number of harvests varies, as does the yield per harvest. In the Plurinational State of Bolivia and Peru, UNODC supports monitoring systems that conduct coca leaf yield surveys in several regions, by harvesting sample plots of coca fields over the course of a year, at points in time indicated by the coca farmer. In these two countries, yield surveys are carried out only occasionally, due to the difficult security situation in many coca regions and because of funding constraints. In Colombia, coca leaf yield estimates are updated yearly through a rotational monitoring system introduced in 2005 that ensures that every yield region is revisited about every three years. However, as the security situation does not allow for surveyors to return to the sample fields, only one harvest is measured, and the others are estimated based on information from the farmer. </w:t>
      </w:r>
      <w:r w:rsidR="005717AA" w:rsidRPr="0036585D">
        <w:t>In 2013 for the first time the concept of productive area was applied to calculate the coca leaf yields in Colombia, taking into account the dynamics of the fields due to spraying and eradication for which some fields are only partly productive during the year. This way of calculating was retroactively applied to the results of 200</w:t>
      </w:r>
      <w:r w:rsidR="00AD0B81" w:rsidRPr="0036585D">
        <w:t>5</w:t>
      </w:r>
      <w:r w:rsidR="005717AA" w:rsidRPr="0036585D">
        <w:t xml:space="preserve">-2012, giving slightly different results than published </w:t>
      </w:r>
      <w:r w:rsidR="00A025E5">
        <w:t>in previous years</w:t>
      </w:r>
      <w:r w:rsidR="005717AA" w:rsidRPr="0036585D">
        <w:rPr>
          <w:rStyle w:val="a4"/>
        </w:rPr>
        <w:t xml:space="preserve"> </w:t>
      </w:r>
      <w:r w:rsidR="005717AA" w:rsidRPr="0092693B">
        <w:rPr>
          <w:rStyle w:val="a4"/>
        </w:rPr>
        <w:footnoteReference w:id="21"/>
      </w:r>
      <w:r w:rsidR="00206FD1" w:rsidRPr="0092693B">
        <w:t xml:space="preserve">. </w:t>
      </w:r>
      <w:r w:rsidR="00772F19" w:rsidRPr="0092693B">
        <w:t xml:space="preserve">In Peru and </w:t>
      </w:r>
      <w:r w:rsidR="00D165BA">
        <w:t xml:space="preserve">the Plurinational State of </w:t>
      </w:r>
      <w:r w:rsidR="00772F19" w:rsidRPr="0092693B">
        <w:t xml:space="preserve">Bolivia the additional production of partly productive areas </w:t>
      </w:r>
      <w:r w:rsidR="003F2039" w:rsidRPr="0092693B">
        <w:t xml:space="preserve">is </w:t>
      </w:r>
      <w:r w:rsidR="00772F19" w:rsidRPr="0085745A">
        <w:t>not considered for the coca leaf yield estimates</w:t>
      </w:r>
      <w:r w:rsidR="00DA54C6" w:rsidRPr="0085745A">
        <w:t>.</w:t>
      </w:r>
      <w:r w:rsidR="00DA54C6" w:rsidRPr="0092693B">
        <w:rPr>
          <w:rStyle w:val="a4"/>
        </w:rPr>
        <w:footnoteReference w:id="22"/>
      </w:r>
      <w:r w:rsidR="00DA54C6" w:rsidRPr="0092693B">
        <w:t xml:space="preserve"> </w:t>
      </w:r>
    </w:p>
    <w:p w:rsidR="00B707EC" w:rsidRPr="009603EF" w:rsidRDefault="00BC419E" w:rsidP="009603EF">
      <w:pPr>
        <w:pStyle w:val="3"/>
      </w:pPr>
      <w:bookmarkStart w:id="149" w:name="_Toc108702224"/>
      <w:r w:rsidRPr="00742CFD">
        <w:lastRenderedPageBreak/>
        <w:t>C</w:t>
      </w:r>
      <w:r w:rsidRPr="00AA7203">
        <w:t>onversion</w:t>
      </w:r>
      <w:r w:rsidRPr="00650439">
        <w:t xml:space="preserve"> f</w:t>
      </w:r>
      <w:r w:rsidRPr="006C7D5A">
        <w:t>actors</w:t>
      </w:r>
      <w:bookmarkEnd w:id="149"/>
    </w:p>
    <w:p w:rsidR="00BC419E" w:rsidRPr="002E1D6F" w:rsidRDefault="00BC419E" w:rsidP="00F16E68">
      <w:r w:rsidRPr="0085745A">
        <w:t>The primary plant material harvested - opium in the form of gum or latex from opium poppy, coca leaves from coca bush, and the cannabis plant - undergo a sequence of extraction and transformation processes, some of which are done by farmers onsite, others by traffickers in clandestine laboratories. Some of these processes involve precursor chemicals and may be done by different people in different places under a variety of conditions, which are not always known. In the case of opium gum,</w:t>
      </w:r>
      <w:r w:rsidRPr="002E1D6F">
        <w:t xml:space="preserve"> for example, traffickers extract the morphine contained in the gum in one process, transform the morphine into heroin base in a second process, and finally produce heroin hydrochloride. In the case of cocaine, coca paste is produced from either sun-dried (in the Plurinational State of Bolivia and Peru) or fresh coca leaves (in Colombia), which is later transformed into cocaine base, from where cocaine hydrochloride is produced.</w:t>
      </w:r>
    </w:p>
    <w:p w:rsidR="00BC419E" w:rsidRPr="0036585D" w:rsidRDefault="00BC419E" w:rsidP="00F16E68">
      <w:r w:rsidRPr="0036585D">
        <w:t>The results of each step, for example from coca leaf to coca paste, can be estimated with a conversion factor. Such conversion factors are based on interviews with the people involved in the process, such as farmers in Colombia, who report how much coca leaf they need to produce 1 kg of coca paste or cocaine base. Tests have also been conducted where so-called ‘cooks’ or ‘chemists’ demonstrate how they do the processing under local conditions. A number of studies conducted by enforcement agencies in the main drug-producing countries have provided the orders of magnitude for the transformation from the raw material to the end product. This information is usually based on just a few case studies which are not necessarily representative of the entire production process. Farmer interviews are not always possible due to the sensitivity of the topic, especially if the processing is done by specialists and not by the farmers themselves. Establishing conversion ratios is complicated by the fact that traffickers may not know the quality of the raw material and chemicals they use, which may vary considerably; they may have to use a range of chemicals for the same purpose depending on their availability and costs; and the conditions under which the processing takes place (temperature, humidity, et cetera) differ.</w:t>
      </w:r>
    </w:p>
    <w:p w:rsidR="00BC419E" w:rsidRPr="0036585D" w:rsidRDefault="00BC419E" w:rsidP="00F16E68">
      <w:r w:rsidRPr="0036585D">
        <w:lastRenderedPageBreak/>
        <w:t xml:space="preserve">It is important to take into account the fact that the margins of error of these conversion ratios – used to calculate the potential cocaine production from coca leaf or the heroin production from opium - are not known. To be precise, these calculations would require detailed information on the morphine content of opium or the cocaine content of the coca leaf, as well as detailed information on the efficiency of clandestine laboratories. Such information is limited. This also applies to the question of the psychoactive content of the narcotic plants. </w:t>
      </w:r>
    </w:p>
    <w:p w:rsidR="003D3863" w:rsidRPr="0092693B" w:rsidRDefault="00BC419E" w:rsidP="00F16E68">
      <w:r w:rsidRPr="0036585D">
        <w:t>UNODC, in cooperation with Member States, continues to review coca leaf to cocaine conversion ratios as well as coca leaf yields and net productive area estimates.</w:t>
      </w:r>
      <w:r w:rsidRPr="0092693B">
        <w:rPr>
          <w:rStyle w:val="a4"/>
        </w:rPr>
        <w:footnoteReference w:id="23"/>
      </w:r>
      <w:r w:rsidRPr="0092693B">
        <w:t xml:space="preserve"> More research</w:t>
      </w:r>
      <w:r w:rsidR="001437CF">
        <w:t>, however,</w:t>
      </w:r>
      <w:r w:rsidRPr="0092693B">
        <w:t xml:space="preserve"> is needed to establish comparable data for all components of the cocaine production estimate. </w:t>
      </w:r>
    </w:p>
    <w:p w:rsidR="004715AA" w:rsidRPr="0027249C" w:rsidRDefault="00BC419E" w:rsidP="00F16E68">
      <w:r w:rsidRPr="0092693B">
        <w:t xml:space="preserve">Many cannabis farmers in Afghanistan and Morocco conduct the first processing steps themselves, either by removing the upper leaves and flowers of the plant to produce cannabis herb or by threshing and sieving the plant material to extract the cannabis resin. The </w:t>
      </w:r>
      <w:r w:rsidRPr="0085745A">
        <w:t>herb and resin yield per hectare can be obtained by multiplying the plant material yield with an extraction factor. The complex area of cannabis resin yield in Afghanistan was investigated in 2009, 2010</w:t>
      </w:r>
      <w:r w:rsidR="00AE5BAA" w:rsidRPr="0085745A">
        <w:t>,</w:t>
      </w:r>
      <w:r w:rsidRPr="002E1D6F">
        <w:t xml:space="preserve"> 2011</w:t>
      </w:r>
      <w:r w:rsidR="00AE5BAA" w:rsidRPr="002E1D6F">
        <w:t xml:space="preserve"> and 2012</w:t>
      </w:r>
      <w:r w:rsidRPr="0036585D">
        <w:t>. The yield study included observation of the actual production of resin, which is a process of threshing and sieving the dried cannabis plants. In Morocco, this factor was established by using information from farmers on the methods used and on results from scientific laboratories. Information on the yield was obtained from interviews with cannabis farmers.</w:t>
      </w:r>
      <w:r w:rsidRPr="0092693B">
        <w:rPr>
          <w:rStyle w:val="a4"/>
        </w:rPr>
        <w:footnoteReference w:id="24"/>
      </w:r>
      <w:r w:rsidRPr="0092693B">
        <w:t xml:space="preserve"> Given the high level of uncertainty and the continuing lack of information </w:t>
      </w:r>
      <w:r w:rsidR="0093489E" w:rsidRPr="0092693B">
        <w:t xml:space="preserve">for the large majority of </w:t>
      </w:r>
      <w:r w:rsidRPr="0092693B">
        <w:t>cannabis-cultivating countries, the estimate</w:t>
      </w:r>
      <w:r w:rsidR="0093489E" w:rsidRPr="0092693B">
        <w:t>s</w:t>
      </w:r>
      <w:r w:rsidRPr="0085745A">
        <w:t xml:space="preserve"> of global cannabis herb and resin production have not been</w:t>
      </w:r>
      <w:r w:rsidR="00A23695" w:rsidRPr="0085745A">
        <w:t xml:space="preserve"> calculated</w:t>
      </w:r>
      <w:r w:rsidR="001437CF">
        <w:t>.</w:t>
      </w:r>
    </w:p>
    <w:p w:rsidR="00676AF1" w:rsidRPr="009E2C12" w:rsidRDefault="00AB70A7" w:rsidP="009603EF">
      <w:pPr>
        <w:pStyle w:val="3"/>
      </w:pPr>
      <w:bookmarkStart w:id="150" w:name="_Toc108702225"/>
      <w:r w:rsidRPr="00AA7203">
        <w:lastRenderedPageBreak/>
        <w:t>“</w:t>
      </w:r>
      <w:r w:rsidR="00BC419E" w:rsidRPr="00650439">
        <w:t>P</w:t>
      </w:r>
      <w:r w:rsidR="00BC419E" w:rsidRPr="006C7D5A">
        <w:t>otential</w:t>
      </w:r>
      <w:r w:rsidRPr="009603EF">
        <w:t>”</w:t>
      </w:r>
      <w:r w:rsidR="00BC419E" w:rsidRPr="009603EF">
        <w:t xml:space="preserve"> production</w:t>
      </w:r>
      <w:r w:rsidRPr="009603EF">
        <w:t xml:space="preserve"> versus “actual production”</w:t>
      </w:r>
      <w:bookmarkEnd w:id="150"/>
      <w:r w:rsidR="00BC419E" w:rsidRPr="009E2C12">
        <w:t xml:space="preserve"> </w:t>
      </w:r>
    </w:p>
    <w:p w:rsidR="00A03AEE" w:rsidRDefault="00BC419E" w:rsidP="009603EF">
      <w:r w:rsidRPr="0085745A">
        <w:t xml:space="preserve">‘Potential’ heroin or cocaine production </w:t>
      </w:r>
      <w:r w:rsidR="0093489E" w:rsidRPr="002E1D6F">
        <w:t>refers to</w:t>
      </w:r>
      <w:r w:rsidRPr="0036585D">
        <w:t xml:space="preserve"> </w:t>
      </w:r>
      <w:r w:rsidR="0093489E" w:rsidRPr="0036585D">
        <w:t xml:space="preserve">total </w:t>
      </w:r>
      <w:r w:rsidRPr="0036585D">
        <w:t>production of heroin or cocaine if all the cultivated opium or coca leaf</w:t>
      </w:r>
      <w:r w:rsidR="0093489E" w:rsidRPr="0036585D">
        <w:t>,</w:t>
      </w:r>
      <w:r w:rsidRPr="0036585D">
        <w:t xml:space="preserve"> </w:t>
      </w:r>
      <w:r w:rsidR="0093489E" w:rsidRPr="0036585D">
        <w:t xml:space="preserve">less the opium and coca leaf consumed as such, </w:t>
      </w:r>
      <w:r w:rsidRPr="0036585D">
        <w:t>were transformed into the end products in the respective producer country in the same year</w:t>
      </w:r>
      <w:r w:rsidR="00A23695" w:rsidRPr="0036585D">
        <w:t>.</w:t>
      </w:r>
      <w:r w:rsidRPr="0036585D">
        <w:t xml:space="preserve"> </w:t>
      </w:r>
      <w:r w:rsidR="00E16F0B" w:rsidRPr="0036585D">
        <w:t>D</w:t>
      </w:r>
      <w:r w:rsidR="00234B71" w:rsidRPr="0036585D">
        <w:t>irect consumption of opium or the</w:t>
      </w:r>
      <w:r w:rsidR="00E16F0B" w:rsidRPr="0036585D">
        <w:t xml:space="preserve"> coca lea</w:t>
      </w:r>
      <w:r w:rsidR="00301076">
        <w:t>ve</w:t>
      </w:r>
      <w:r w:rsidR="00E16F0B" w:rsidRPr="0036585D">
        <w:t xml:space="preserve">s being taken into account. </w:t>
      </w:r>
      <w:r w:rsidR="00AB70A7">
        <w:t>Thus, f</w:t>
      </w:r>
      <w:r w:rsidRPr="0036585D">
        <w:t xml:space="preserve">or example, consumption of coca leaf considered licit in the Plurinational State of Bolivia and Peru is </w:t>
      </w:r>
      <w:r w:rsidR="00E16F0B" w:rsidRPr="0036585D">
        <w:t xml:space="preserve">deducted from the amounts of coca available </w:t>
      </w:r>
      <w:r w:rsidRPr="0036585D">
        <w:t xml:space="preserve">for the transformation into cocaine. </w:t>
      </w:r>
      <w:r w:rsidR="00E16F0B" w:rsidRPr="0036585D">
        <w:t xml:space="preserve">Similarly, opium consumed in Afghanistan and neighbouring countries </w:t>
      </w:r>
      <w:r w:rsidR="00234B71" w:rsidRPr="0036585D">
        <w:t xml:space="preserve">is deducted from the amounts of opium available for heroin production. </w:t>
      </w:r>
    </w:p>
    <w:p w:rsidR="00D82249" w:rsidRDefault="00234B71" w:rsidP="009603EF">
      <w:r w:rsidRPr="0036585D">
        <w:t>In contrast, opium stocked or opium used from stocks accumulated over previous years is not considered in the calculation of ‘potential’ heroin manufacture</w:t>
      </w:r>
      <w:r w:rsidR="00AB70A7">
        <w:t xml:space="preserve"> though it may have a significant impact on ‘actual’ heroin manufacture</w:t>
      </w:r>
      <w:r w:rsidRPr="0036585D">
        <w:t xml:space="preserve">. </w:t>
      </w:r>
      <w:r w:rsidR="00AB70A7">
        <w:t>Similarly, none of the coca leaf harvested in a previous year is taken into consideration when it comes to the manufacture of cocaine.</w:t>
      </w:r>
      <w:r w:rsidRPr="0036585D">
        <w:t xml:space="preserve"> </w:t>
      </w:r>
      <w:r w:rsidR="00AB70A7">
        <w:t xml:space="preserve">This is less of a problem for the coca leaf, but it </w:t>
      </w:r>
      <w:r w:rsidR="00922526" w:rsidRPr="0036585D">
        <w:t>should be noted that opium can be stored for extended periods of time and converted into intermediate or final products long after the harvest year. Thus ‘actual’ heroin manufacture, making use of accumulated stocks of opium from previous years, can deviate significantly from ‘potential’ heroin manufacture out of the opium produced in a specific year</w:t>
      </w:r>
      <w:r w:rsidR="00922526">
        <w:t xml:space="preserve">. </w:t>
      </w:r>
    </w:p>
    <w:p w:rsidR="00C0045B" w:rsidRDefault="00922526" w:rsidP="009603EF">
      <w:r>
        <w:t>While global opium production shows strong year-on-year fluctuations</w:t>
      </w:r>
      <w:r w:rsidR="00B71735">
        <w:t xml:space="preserve"> (standard deviation of percentage changes on a year earlier: 0.5 over period 1998-</w:t>
      </w:r>
      <w:r w:rsidR="009661DE">
        <w:t>2021</w:t>
      </w:r>
      <w:r w:rsidR="00B71735">
        <w:t>)</w:t>
      </w:r>
      <w:r>
        <w:t xml:space="preserve">, global heroin seizures tend to remain rather </w:t>
      </w:r>
      <w:r w:rsidR="0099185D">
        <w:t>smooth</w:t>
      </w:r>
      <w:r w:rsidR="00B71735">
        <w:t xml:space="preserve"> (standard deviation of percentage changes on a year earlier: 0.1</w:t>
      </w:r>
      <w:r w:rsidR="00B42EF7">
        <w:t>2</w:t>
      </w:r>
      <w:r w:rsidR="00B71735">
        <w:t xml:space="preserve"> over period 1998-</w:t>
      </w:r>
      <w:r w:rsidR="00A025E5">
        <w:t>202</w:t>
      </w:r>
      <w:r w:rsidR="00F64297">
        <w:t>1</w:t>
      </w:r>
      <w:r w:rsidR="00B71735">
        <w:t>)</w:t>
      </w:r>
      <w:r w:rsidR="00AB70A7">
        <w:t xml:space="preserve">. This </w:t>
      </w:r>
      <w:r w:rsidR="0099185D">
        <w:t>suggest</w:t>
      </w:r>
      <w:r w:rsidR="00AB70A7">
        <w:t>s</w:t>
      </w:r>
      <w:r>
        <w:t xml:space="preserve"> </w:t>
      </w:r>
      <w:r w:rsidR="0099185D">
        <w:t>that there may be</w:t>
      </w:r>
      <w:r w:rsidR="00AB70A7">
        <w:t xml:space="preserve"> </w:t>
      </w:r>
      <w:r w:rsidR="00AB70A7">
        <w:rPr>
          <w:rFonts w:ascii="Calibri" w:hAnsi="Calibri" w:cs="Calibri"/>
        </w:rPr>
        <w:t>‒</w:t>
      </w:r>
      <w:r w:rsidR="0099185D">
        <w:t xml:space="preserve"> irrespective of a long-term upward trend</w:t>
      </w:r>
      <w:r w:rsidR="007618CF">
        <w:t xml:space="preserve"> and a </w:t>
      </w:r>
      <w:r w:rsidR="00252000">
        <w:t xml:space="preserve">stronger rise in </w:t>
      </w:r>
      <w:r w:rsidR="006B63F1">
        <w:t xml:space="preserve">global heroin </w:t>
      </w:r>
      <w:r w:rsidR="00252000">
        <w:t xml:space="preserve">seizures than in </w:t>
      </w:r>
      <w:r w:rsidR="006B63F1">
        <w:t xml:space="preserve">global </w:t>
      </w:r>
      <w:r w:rsidR="00252000">
        <w:t xml:space="preserve">opium production </w:t>
      </w:r>
      <w:r w:rsidR="000D693B">
        <w:t>(</w:t>
      </w:r>
      <w:r w:rsidR="00252000">
        <w:t>and thus an increase in the global interception rates</w:t>
      </w:r>
      <w:r w:rsidR="000D693B">
        <w:t>)</w:t>
      </w:r>
      <w:r w:rsidR="00AB70A7">
        <w:t xml:space="preserve"> </w:t>
      </w:r>
      <w:r w:rsidR="00AB70A7">
        <w:rPr>
          <w:rFonts w:ascii="Calibri" w:hAnsi="Calibri" w:cs="Calibri"/>
        </w:rPr>
        <w:t>‒</w:t>
      </w:r>
      <w:r w:rsidR="0099185D">
        <w:t xml:space="preserve"> a rather constant year-on-year </w:t>
      </w:r>
      <w:r w:rsidR="00473642">
        <w:t xml:space="preserve">output </w:t>
      </w:r>
      <w:r w:rsidR="0099185D">
        <w:t>in the manufacture of heroin</w:t>
      </w:r>
      <w:r w:rsidR="00C02DB8">
        <w:t>.</w:t>
      </w:r>
      <w:r w:rsidR="00AB70A7">
        <w:t xml:space="preserve"> </w:t>
      </w:r>
      <w:r w:rsidR="005215A5">
        <w:t>‘</w:t>
      </w:r>
      <w:r w:rsidR="00C02DB8">
        <w:t>A</w:t>
      </w:r>
      <w:r w:rsidR="00D82249">
        <w:t>ctual</w:t>
      </w:r>
      <w:r w:rsidR="005215A5">
        <w:t>’</w:t>
      </w:r>
      <w:r w:rsidR="00D82249">
        <w:t xml:space="preserve"> </w:t>
      </w:r>
      <w:r w:rsidR="00AB70A7">
        <w:t xml:space="preserve">global </w:t>
      </w:r>
      <w:r w:rsidR="00D82249">
        <w:t>heroin manufacture</w:t>
      </w:r>
      <w:r w:rsidR="00AB70A7">
        <w:t>,</w:t>
      </w:r>
      <w:r w:rsidR="00D82249">
        <w:t xml:space="preserve"> in contrast to </w:t>
      </w:r>
      <w:r w:rsidR="00AB70A7">
        <w:t xml:space="preserve">global </w:t>
      </w:r>
      <w:r w:rsidR="00D82249">
        <w:t>opium production</w:t>
      </w:r>
      <w:r w:rsidR="00E40784">
        <w:t xml:space="preserve"> and derived </w:t>
      </w:r>
      <w:r w:rsidR="00A86241">
        <w:t>‘</w:t>
      </w:r>
      <w:r w:rsidR="00E40784">
        <w:t>potential</w:t>
      </w:r>
      <w:r w:rsidR="00A86241">
        <w:t>’</w:t>
      </w:r>
      <w:r w:rsidR="00E40784">
        <w:t xml:space="preserve"> </w:t>
      </w:r>
      <w:r w:rsidR="00662BCD">
        <w:t xml:space="preserve">global </w:t>
      </w:r>
      <w:r w:rsidR="00E40784">
        <w:t>heroin manufacture</w:t>
      </w:r>
      <w:r w:rsidR="00AB70A7">
        <w:t xml:space="preserve">, tends to be </w:t>
      </w:r>
      <w:r w:rsidR="00D82249">
        <w:t>rather smooth</w:t>
      </w:r>
      <w:r w:rsidR="0099185D">
        <w:t xml:space="preserve">. </w:t>
      </w:r>
    </w:p>
    <w:p w:rsidR="00D6549E" w:rsidRDefault="00D6549E" w:rsidP="009603EF">
      <w:r>
        <w:t>Thus, average numbers of such calculated ‘potential’ heroin manufacture over a few years (e.g. over a period of 5 years) may turn out to</w:t>
      </w:r>
      <w:r w:rsidR="00662BCD">
        <w:t xml:space="preserve"> provide</w:t>
      </w:r>
      <w:r>
        <w:t xml:space="preserve"> more realistic estimate</w:t>
      </w:r>
      <w:r w:rsidR="00662BCD">
        <w:t>s</w:t>
      </w:r>
      <w:r>
        <w:t xml:space="preserve"> of the </w:t>
      </w:r>
      <w:r w:rsidR="00A86241">
        <w:t>‘</w:t>
      </w:r>
      <w:r>
        <w:t>actual</w:t>
      </w:r>
      <w:r w:rsidR="00A86241">
        <w:t>’</w:t>
      </w:r>
      <w:r>
        <w:t xml:space="preserve"> </w:t>
      </w:r>
      <w:r>
        <w:lastRenderedPageBreak/>
        <w:t>amounts of heroin manufacture</w:t>
      </w:r>
      <w:r w:rsidR="00A86241">
        <w:t>d</w:t>
      </w:r>
      <w:r>
        <w:t xml:space="preserve"> in a</w:t>
      </w:r>
      <w:r w:rsidR="00A86241">
        <w:t>ny</w:t>
      </w:r>
      <w:r>
        <w:t xml:space="preserve"> specific year than the calculated ‘potential’ heroin manufacturing estimate for that year</w:t>
      </w:r>
      <w:r w:rsidRPr="0036585D">
        <w:t xml:space="preserve">.  </w:t>
      </w:r>
    </w:p>
    <w:p w:rsidR="00B71735" w:rsidRDefault="00CC6994" w:rsidP="009603EF">
      <w:pPr>
        <w:pStyle w:val="Figure"/>
        <w:keepNext/>
        <w:keepLines/>
        <w:numPr>
          <w:ilvl w:val="0"/>
          <w:numId w:val="0"/>
        </w:numPr>
        <w:ind w:left="1080" w:hanging="360"/>
      </w:pPr>
      <w:r>
        <w:t xml:space="preserve">Figure: </w:t>
      </w:r>
      <w:r w:rsidR="00B71735" w:rsidRPr="000C6488">
        <w:t xml:space="preserve">Global opium production and </w:t>
      </w:r>
      <w:r w:rsidR="00B71735">
        <w:t>heroin seizures</w:t>
      </w:r>
      <w:r w:rsidR="00B71735" w:rsidRPr="000C6488">
        <w:t>, 1998–</w:t>
      </w:r>
      <w:r w:rsidR="000E5538">
        <w:t>2022</w:t>
      </w:r>
    </w:p>
    <w:p w:rsidR="008A3B5B" w:rsidRPr="004A48F5" w:rsidRDefault="008A3B5B" w:rsidP="004B6C86">
      <w:r>
        <w:rPr>
          <w:noProof/>
          <w:lang w:val="en-US" w:eastAsia="zh-CN"/>
        </w:rPr>
        <w:drawing>
          <wp:inline distT="0" distB="0" distL="0" distR="0">
            <wp:extent cx="5675406" cy="4904243"/>
            <wp:effectExtent l="0" t="0" r="1905" b="0"/>
            <wp:docPr id="42" name="Chart 4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9048F68-F846-4ED6-AC53-DF5AE7E473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E5538" w:rsidRPr="004A48F5" w:rsidRDefault="001D0B33" w:rsidP="004B6C86">
      <w:r w:rsidRPr="009603EF">
        <w:rPr>
          <w:sz w:val="18"/>
          <w:szCs w:val="18"/>
        </w:rPr>
        <w:t>Sources: UNODC, opium surveys; UNODC, responses to the annual report questionnaire; and other Government sources</w:t>
      </w:r>
    </w:p>
    <w:p w:rsidR="00DD6BEC" w:rsidRDefault="00DD6BEC" w:rsidP="00742CFD">
      <w:pPr>
        <w:keepNext/>
        <w:keepLines/>
        <w:rPr>
          <w:noProof/>
        </w:rPr>
      </w:pPr>
    </w:p>
    <w:p w:rsidR="00C0045B" w:rsidRDefault="00C0045B" w:rsidP="006B4347">
      <w:r>
        <w:t xml:space="preserve">This is of significance in years when opium production </w:t>
      </w:r>
      <w:r w:rsidR="00D21F7B">
        <w:t xml:space="preserve">is </w:t>
      </w:r>
      <w:r>
        <w:t>either rather high or rather low as compared to other years. he differences are far less pronounced in years when opium production has been close to average</w:t>
      </w:r>
      <w:r w:rsidR="00DD6BEC">
        <w:t>, such as 2020</w:t>
      </w:r>
      <w:r w:rsidR="006B4347">
        <w:t>, 2021 or 202</w:t>
      </w:r>
      <w:r w:rsidR="00533F8A">
        <w:t>2</w:t>
      </w:r>
      <w:r w:rsidR="006B4347">
        <w:t xml:space="preserve">. </w:t>
      </w:r>
      <w:r w:rsidR="00DD6BEC">
        <w:t xml:space="preserve">  </w:t>
      </w:r>
    </w:p>
    <w:p w:rsidR="00C0045B" w:rsidRDefault="005A67C0" w:rsidP="004C43B1">
      <w:pPr>
        <w:widowControl w:val="0"/>
      </w:pPr>
      <w:r>
        <w:t>At the same time, i</w:t>
      </w:r>
      <w:r w:rsidR="00C0045B">
        <w:t xml:space="preserve">t should be noted that </w:t>
      </w:r>
      <w:r w:rsidR="00DD6BEC">
        <w:t xml:space="preserve">opium and </w:t>
      </w:r>
      <w:r w:rsidR="00C0045B">
        <w:t>coca leaf seizures are not take</w:t>
      </w:r>
      <w:r w:rsidR="00561E0C">
        <w:t xml:space="preserve">n </w:t>
      </w:r>
      <w:r w:rsidR="00C0045B">
        <w:t xml:space="preserve">into account in the calculation of potential global </w:t>
      </w:r>
      <w:r w:rsidR="00DD6BEC">
        <w:t xml:space="preserve">heroin or </w:t>
      </w:r>
      <w:r w:rsidR="00C0045B">
        <w:t xml:space="preserve">cocaine manufacture. </w:t>
      </w:r>
      <w:r w:rsidR="001903F9">
        <w:t xml:space="preserve">This tends to be </w:t>
      </w:r>
      <w:r w:rsidR="001903F9">
        <w:lastRenderedPageBreak/>
        <w:t>more of an issue for opium than for the coca leaf.</w:t>
      </w:r>
      <w:r w:rsidR="00252C62">
        <w:t xml:space="preserve"> It </w:t>
      </w:r>
      <w:r w:rsidR="00C0045B">
        <w:t>tends to over-estimate the actual amount of opium available for the manufacture of heroin as</w:t>
      </w:r>
      <w:r w:rsidR="00252C62">
        <w:t xml:space="preserve">, in reality, </w:t>
      </w:r>
      <w:r w:rsidR="00C0045B">
        <w:t xml:space="preserve"> opium seized is no longer available for the manufacture of heroin.</w:t>
      </w:r>
      <w:r w:rsidR="00DD6BEC">
        <w:t xml:space="preserve"> In </w:t>
      </w:r>
      <w:r w:rsidR="00A00110">
        <w:t xml:space="preserve">2021 </w:t>
      </w:r>
      <w:r w:rsidR="00DD6BEC">
        <w:t xml:space="preserve"> global opium production amounted to </w:t>
      </w:r>
      <w:r w:rsidR="007E52F0">
        <w:t xml:space="preserve">8,030 </w:t>
      </w:r>
      <w:r w:rsidR="00DD6BEC">
        <w:t xml:space="preserve"> tons while opium seizures amounted to </w:t>
      </w:r>
      <w:r w:rsidR="003311B3">
        <w:t>892</w:t>
      </w:r>
      <w:r w:rsidR="00DD6BEC">
        <w:t xml:space="preserve"> tons, </w:t>
      </w:r>
      <w:r w:rsidR="004C43B1">
        <w:t xml:space="preserve">equivalent to </w:t>
      </w:r>
      <w:r w:rsidR="00630A02">
        <w:t xml:space="preserve">11 </w:t>
      </w:r>
      <w:r w:rsidR="004C43B1">
        <w:t xml:space="preserve"> per cent of opium production.</w:t>
      </w:r>
      <w:r w:rsidR="00DD6BEC">
        <w:t xml:space="preserve"> </w:t>
      </w:r>
      <w:r w:rsidR="009C0080">
        <w:t>Such opium is no longer avai</w:t>
      </w:r>
      <w:r w:rsidR="00560E55">
        <w:t xml:space="preserve">lable for the manufacture of heroin. </w:t>
      </w:r>
      <w:r w:rsidR="00AF04ED">
        <w:t xml:space="preserve"> </w:t>
      </w:r>
      <w:r w:rsidR="00C768BB">
        <w:t>As discussed above, a</w:t>
      </w:r>
      <w:r w:rsidR="00825713">
        <w:t xml:space="preserve">n estimate of potential manufacture of heroin </w:t>
      </w:r>
      <w:r w:rsidR="00DD6BEC">
        <w:t xml:space="preserve">also </w:t>
      </w:r>
      <w:r w:rsidR="00825713">
        <w:t xml:space="preserve">does not take into account previous years’ opium being used for the manufacture of heroin or the </w:t>
      </w:r>
      <w:r w:rsidR="00825713" w:rsidRPr="0052732D">
        <w:t>stockpiling or</w:t>
      </w:r>
      <w:r w:rsidR="00825713" w:rsidRPr="0052732D">
        <w:rPr>
          <w:b/>
          <w:bCs/>
        </w:rPr>
        <w:t xml:space="preserve"> </w:t>
      </w:r>
      <w:r w:rsidR="00825713" w:rsidRPr="0052732D">
        <w:t>clearance of stocks</w:t>
      </w:r>
      <w:r w:rsidR="00825713" w:rsidRPr="0052732D">
        <w:rPr>
          <w:b/>
          <w:bCs/>
        </w:rPr>
        <w:t xml:space="preserve"> </w:t>
      </w:r>
      <w:r w:rsidR="00825713" w:rsidRPr="0052732D">
        <w:t>of opium</w:t>
      </w:r>
      <w:r w:rsidR="00825713">
        <w:t xml:space="preserve"> in a specific year.  Given rather stable opium production levels over the period 2018</w:t>
      </w:r>
      <w:r w:rsidR="00825713" w:rsidRPr="00825713">
        <w:rPr>
          <w:rFonts w:cs="Calibri"/>
        </w:rPr>
        <w:t>‒</w:t>
      </w:r>
      <w:r w:rsidR="00630A02">
        <w:rPr>
          <w:rFonts w:cs="Calibri"/>
        </w:rPr>
        <w:t>2022</w:t>
      </w:r>
      <w:r w:rsidR="00825713">
        <w:t xml:space="preserve">, such changes in stocks, however, are unlikely to have affected </w:t>
      </w:r>
      <w:r w:rsidR="00C768BB">
        <w:rPr>
          <w:rFonts w:ascii="Calibri" w:hAnsi="Calibri" w:cs="Calibri"/>
        </w:rPr>
        <w:t>‒</w:t>
      </w:r>
      <w:r w:rsidR="00C768BB">
        <w:t xml:space="preserve"> </w:t>
      </w:r>
      <w:r w:rsidR="00825713">
        <w:t>to any significant extent</w:t>
      </w:r>
      <w:r w:rsidR="00C768BB">
        <w:t xml:space="preserve"> </w:t>
      </w:r>
      <w:r w:rsidR="00C768BB">
        <w:rPr>
          <w:rFonts w:ascii="Calibri" w:hAnsi="Calibri" w:cs="Calibri"/>
        </w:rPr>
        <w:t>‒</w:t>
      </w:r>
      <w:r w:rsidR="00825713">
        <w:t xml:space="preserve"> heroin manufacture in 2020</w:t>
      </w:r>
      <w:r w:rsidR="00630A02">
        <w:t xml:space="preserve">, 2021 </w:t>
      </w:r>
      <w:r w:rsidR="00DD6BEC">
        <w:t xml:space="preserve"> or </w:t>
      </w:r>
      <w:r w:rsidR="00630A02">
        <w:t>2022</w:t>
      </w:r>
      <w:r w:rsidR="00825713">
        <w:t>.</w:t>
      </w:r>
      <w:r w:rsidR="00C768BB">
        <w:t xml:space="preserve"> In this respect, estimated </w:t>
      </w:r>
      <w:r w:rsidR="002A72A1">
        <w:t>‘</w:t>
      </w:r>
      <w:r w:rsidR="00C768BB">
        <w:t>potential</w:t>
      </w:r>
      <w:r w:rsidR="002A72A1">
        <w:t>’</w:t>
      </w:r>
      <w:r w:rsidR="00C768BB">
        <w:t xml:space="preserve"> manufacture of heroin seems to have been a rather good proxy for actual manufacture of heroin</w:t>
      </w:r>
      <w:r w:rsidR="00DD6BEC">
        <w:t>.</w:t>
      </w:r>
      <w:r w:rsidR="004C43B1">
        <w:t xml:space="preserve"> Global potential heroin manufacture (at export purities) was estimated at </w:t>
      </w:r>
      <w:r w:rsidR="00FE2856">
        <w:t>507-</w:t>
      </w:r>
      <w:r w:rsidR="008110D7">
        <w:t>739</w:t>
      </w:r>
      <w:r w:rsidR="004C43B1">
        <w:t xml:space="preserve"> tons in </w:t>
      </w:r>
      <w:r w:rsidR="00F50388">
        <w:t>2022</w:t>
      </w:r>
      <w:r w:rsidR="004C43B1">
        <w:t xml:space="preserve">. </w:t>
      </w:r>
      <w:r w:rsidR="00C768BB">
        <w:t xml:space="preserve"> </w:t>
      </w:r>
    </w:p>
    <w:p w:rsidR="00C0045B" w:rsidRPr="009E2C12" w:rsidRDefault="00C768BB" w:rsidP="009603EF">
      <w:pPr>
        <w:pStyle w:val="3"/>
      </w:pPr>
      <w:r>
        <w:t xml:space="preserve"> </w:t>
      </w:r>
      <w:bookmarkStart w:id="151" w:name="_Toc108702226"/>
      <w:r w:rsidR="00C0045B">
        <w:t>Purity of p</w:t>
      </w:r>
      <w:r w:rsidR="00C0045B" w:rsidRPr="009E2C12">
        <w:t xml:space="preserve">otential production </w:t>
      </w:r>
      <w:r w:rsidR="005328F6">
        <w:t>estimates</w:t>
      </w:r>
      <w:bookmarkEnd w:id="151"/>
      <w:r w:rsidR="005328F6">
        <w:t xml:space="preserve"> </w:t>
      </w:r>
    </w:p>
    <w:p w:rsidR="00314362" w:rsidRPr="0036585D" w:rsidRDefault="00BC419E" w:rsidP="00F16E68">
      <w:r w:rsidRPr="0036585D">
        <w:t xml:space="preserve">For </w:t>
      </w:r>
      <w:r w:rsidRPr="0036585D">
        <w:rPr>
          <w:b/>
        </w:rPr>
        <w:t>cocaine</w:t>
      </w:r>
      <w:r w:rsidRPr="0036585D">
        <w:t>, potential production of 100</w:t>
      </w:r>
      <w:r w:rsidR="002250F7">
        <w:t xml:space="preserve"> per cent </w:t>
      </w:r>
      <w:r w:rsidRPr="0036585D">
        <w:t>pure cocaine is estimated. In reality, clandestine laboratories do not produce 100</w:t>
      </w:r>
      <w:r w:rsidR="002250F7">
        <w:t xml:space="preserve"> per cent</w:t>
      </w:r>
      <w:r w:rsidRPr="0036585D">
        <w:t xml:space="preserve"> pure cocaine but cocaine of lower purity which is often referred to as ‘export quality’. </w:t>
      </w:r>
    </w:p>
    <w:p w:rsidR="00BC419E" w:rsidRPr="0036585D" w:rsidRDefault="00BC419E" w:rsidP="00F16E68">
      <w:r w:rsidRPr="0036585D">
        <w:t xml:space="preserve">For </w:t>
      </w:r>
      <w:r w:rsidRPr="0036585D">
        <w:rPr>
          <w:b/>
        </w:rPr>
        <w:t>heroin</w:t>
      </w:r>
      <w:r w:rsidRPr="0036585D">
        <w:t xml:space="preserve">, </w:t>
      </w:r>
      <w:r w:rsidR="00D95D31" w:rsidRPr="0036585D">
        <w:t xml:space="preserve">two conversion ratios are used. </w:t>
      </w:r>
      <w:r w:rsidR="004E2980" w:rsidRPr="0036585D">
        <w:t>Apart from Afghanistan</w:t>
      </w:r>
      <w:r w:rsidR="00D95D31" w:rsidRPr="0036585D">
        <w:t xml:space="preserve">, </w:t>
      </w:r>
      <w:r w:rsidRPr="0036585D">
        <w:t xml:space="preserve">not enough information is available to estimate the production of heroin </w:t>
      </w:r>
      <w:r w:rsidR="00E30586">
        <w:t xml:space="preserve">at </w:t>
      </w:r>
      <w:r w:rsidRPr="0036585D">
        <w:t>100</w:t>
      </w:r>
      <w:r w:rsidR="00E30586">
        <w:t xml:space="preserve"> per cent </w:t>
      </w:r>
      <w:r w:rsidRPr="0036585D">
        <w:t xml:space="preserve">purity. Instead, potential production of export quality heroin is estimated, whose exact purity is not known and may vary. </w:t>
      </w:r>
      <w:r w:rsidR="00D95D31" w:rsidRPr="0036585D">
        <w:t>For Afghanistan, the calculations are more detailed</w:t>
      </w:r>
      <w:r w:rsidR="00E30586">
        <w:t>. Here</w:t>
      </w:r>
      <w:r w:rsidR="00D95D31" w:rsidRPr="0036585D">
        <w:t xml:space="preserve"> the share of all opium converted to heroin is estimated</w:t>
      </w:r>
      <w:r w:rsidR="004E2980" w:rsidRPr="0036585D">
        <w:t xml:space="preserve"> and a specific conversion ratio is applied, which uses an estimated purity for heroin of export quality</w:t>
      </w:r>
      <w:r w:rsidR="00E30586">
        <w:t>,</w:t>
      </w:r>
      <w:r w:rsidR="00245D49">
        <w:t xml:space="preserve"> derived from wholesale purities found in other countries in the neighbourhood</w:t>
      </w:r>
      <w:r w:rsidR="004E2980" w:rsidRPr="0036585D">
        <w:t>.</w:t>
      </w:r>
      <w:r w:rsidR="00D95D31" w:rsidRPr="0036585D">
        <w:t xml:space="preserve"> </w:t>
      </w:r>
    </w:p>
    <w:p w:rsidR="001552AB" w:rsidRDefault="00BC419E" w:rsidP="00F16E68">
      <w:r w:rsidRPr="0036585D">
        <w:t>Although it is based on current knowledge on the alkaloid content of narcotic plants and the efficiency of clandestine laboratories,</w:t>
      </w:r>
      <w:r w:rsidR="00B85EF0" w:rsidRPr="0036585D">
        <w:t xml:space="preserve"> it should be noted that</w:t>
      </w:r>
      <w:r w:rsidRPr="0036585D">
        <w:t xml:space="preserve"> ‘potential production’ </w:t>
      </w:r>
      <w:r w:rsidR="001552AB">
        <w:t>remains</w:t>
      </w:r>
      <w:r w:rsidRPr="0036585D">
        <w:t xml:space="preserve"> a hypothetical concept and is not an estimate of actual heroin or cocaine production at the country or global level. </w:t>
      </w:r>
    </w:p>
    <w:p w:rsidR="00700602" w:rsidRDefault="00BC419E" w:rsidP="00F16E68">
      <w:r w:rsidRPr="0036585D">
        <w:lastRenderedPageBreak/>
        <w:t xml:space="preserve">The concept of potential production is </w:t>
      </w:r>
      <w:r w:rsidR="004C08EA" w:rsidRPr="0036585D">
        <w:t xml:space="preserve">also </w:t>
      </w:r>
      <w:r w:rsidRPr="0036585D">
        <w:t xml:space="preserve">different from the theoretical maximum amount of drug that could be produced if all alkaloids were extracted from opium and coca leaf. The difference between the theoretical maximum and the potential production is expressed by the so-called laboratory efficiency, which describes which proportion of alkaloids present in plant material clandestine laboratories are actually able to extract. </w:t>
      </w:r>
    </w:p>
    <w:p w:rsidR="00D6549E" w:rsidRPr="0052732D" w:rsidRDefault="00D6549E" w:rsidP="009603EF">
      <w:pPr>
        <w:pStyle w:val="3"/>
      </w:pPr>
      <w:bookmarkStart w:id="152" w:name="_Toc108702227"/>
      <w:r w:rsidRPr="0052732D">
        <w:t>Country-specific estimates</w:t>
      </w:r>
      <w:bookmarkEnd w:id="152"/>
    </w:p>
    <w:p w:rsidR="00676AF1" w:rsidRPr="009603EF" w:rsidRDefault="00BC419E" w:rsidP="009603EF">
      <w:pPr>
        <w:rPr>
          <w:b/>
          <w:bCs/>
        </w:rPr>
      </w:pPr>
      <w:r w:rsidRPr="009603EF">
        <w:rPr>
          <w:b/>
          <w:bCs/>
        </w:rPr>
        <w:t>Colombia</w:t>
      </w:r>
    </w:p>
    <w:p w:rsidR="002F1D1B" w:rsidRDefault="00C0603C" w:rsidP="00F16E68">
      <w:r>
        <w:t>From 2013 onwards,</w:t>
      </w:r>
      <w:r w:rsidR="00407F9F" w:rsidRPr="009E2C12">
        <w:t xml:space="preserve"> </w:t>
      </w:r>
      <w:r w:rsidR="00BC419E" w:rsidRPr="009E2C12">
        <w:t>the</w:t>
      </w:r>
      <w:r w:rsidR="00BC419E" w:rsidRPr="0092693B">
        <w:t xml:space="preserve"> </w:t>
      </w:r>
      <w:r w:rsidR="00CA2807" w:rsidRPr="0092693B">
        <w:t xml:space="preserve">yearly </w:t>
      </w:r>
      <w:r w:rsidR="00F13E29">
        <w:t>‘</w:t>
      </w:r>
      <w:r w:rsidR="00CA2807" w:rsidRPr="0092693B">
        <w:t>productive</w:t>
      </w:r>
      <w:r w:rsidR="00F13E29">
        <w:t>’</w:t>
      </w:r>
      <w:r w:rsidR="00CA2807" w:rsidRPr="0092693B">
        <w:t xml:space="preserve"> area</w:t>
      </w:r>
      <w:r w:rsidR="00407F9F" w:rsidRPr="0092693B">
        <w:t xml:space="preserve">s were </w:t>
      </w:r>
      <w:r w:rsidR="00BC419E" w:rsidRPr="0092693B">
        <w:t>estimated, in</w:t>
      </w:r>
      <w:r w:rsidR="00CA2807" w:rsidRPr="0085745A">
        <w:t xml:space="preserve">stead of using </w:t>
      </w:r>
      <w:r w:rsidR="00BC419E" w:rsidRPr="0085745A">
        <w:t>t</w:t>
      </w:r>
      <w:r w:rsidR="00BC419E" w:rsidRPr="002E1D6F">
        <w:t>he average area under coca cultivation of the reporting year and the previous year</w:t>
      </w:r>
      <w:r w:rsidR="00407F9F" w:rsidRPr="002E1D6F">
        <w:t xml:space="preserve"> (the approach used in previous reports)</w:t>
      </w:r>
      <w:r w:rsidR="00CA2807" w:rsidRPr="0036585D">
        <w:t xml:space="preserve">. </w:t>
      </w:r>
      <w:r w:rsidR="00DC45EF" w:rsidRPr="0036585D">
        <w:t xml:space="preserve">In </w:t>
      </w:r>
      <w:r w:rsidR="00570A71" w:rsidRPr="0036585D">
        <w:t>addition,</w:t>
      </w:r>
      <w:r w:rsidR="00DC45EF" w:rsidRPr="0036585D">
        <w:t xml:space="preserve"> a</w:t>
      </w:r>
      <w:r w:rsidR="002E74F9" w:rsidRPr="0036585D">
        <w:t xml:space="preserve"> </w:t>
      </w:r>
      <w:r w:rsidR="00DC45EF" w:rsidRPr="0036585D">
        <w:t xml:space="preserve">different </w:t>
      </w:r>
      <w:r w:rsidR="002E74F9" w:rsidRPr="0036585D">
        <w:t xml:space="preserve">conversion factor for estimating cocaine base was applied. Both the adjustment of the productive area </w:t>
      </w:r>
      <w:r w:rsidR="00570A71" w:rsidRPr="0036585D">
        <w:t>estimate and</w:t>
      </w:r>
      <w:r w:rsidR="002E74F9" w:rsidRPr="0036585D">
        <w:t xml:space="preserve"> the estimation of the conversion factor for cocaine base were retroactively applied to the results of </w:t>
      </w:r>
      <w:r w:rsidR="00FE1491" w:rsidRPr="0036585D">
        <w:t>200</w:t>
      </w:r>
      <w:r w:rsidR="00FE1491">
        <w:t>6</w:t>
      </w:r>
      <w:r w:rsidR="002E74F9" w:rsidRPr="0036585D">
        <w:t>-201</w:t>
      </w:r>
      <w:r w:rsidR="005717AA" w:rsidRPr="0036585D">
        <w:t>2</w:t>
      </w:r>
      <w:r w:rsidR="00AD7C3A" w:rsidRPr="0036585D">
        <w:t>.</w:t>
      </w:r>
      <w:r w:rsidR="00BC419E" w:rsidRPr="0092693B">
        <w:rPr>
          <w:rStyle w:val="a4"/>
        </w:rPr>
        <w:footnoteReference w:id="25"/>
      </w:r>
    </w:p>
    <w:p w:rsidR="005933DC" w:rsidRDefault="005933DC" w:rsidP="00F16E68">
      <w:r>
        <w:t xml:space="preserve">In 2019, the overall conversion ratios from coca leaf production to the manufacture of cocaine hydrochloride in Colombia were reviewed and the results of this review were retroactively applied to the results from Colombia for the years 2014 to 2018. This review became necessary as due to changes in the overall political context of the country, farmers – often without in-depth knowledge of chemistry – got increasingly involved in the manufacture of coca paste and cocaine base, resulting in overall efficiency losses. At the same time, several of the larger cocaine manufacturing facilities operated by professional chemists showed efficiency gains. </w:t>
      </w:r>
    </w:p>
    <w:p w:rsidR="005933DC" w:rsidRPr="0036585D" w:rsidRDefault="005933DC" w:rsidP="00F16E68">
      <w:r>
        <w:lastRenderedPageBreak/>
        <w:t>The net result was still a loss in the overall efficiency as compared to a decade ago (and thus a downward revision of cocaine manufacturing estimates for Colombia over the period 2014-2018), going hand in hand with rising levels of efficiency in the manufacturing of cocaine identified over the period 2014-</w:t>
      </w:r>
      <w:r w:rsidR="005328F6">
        <w:t>2019.</w:t>
      </w:r>
      <w:r w:rsidR="00004EBB">
        <w:t xml:space="preserve"> </w:t>
      </w:r>
      <w:r w:rsidR="00FE6FCC">
        <w:t xml:space="preserve">The older estimates prior to the review </w:t>
      </w:r>
      <w:r w:rsidR="001306A8">
        <w:t>in 2019</w:t>
      </w:r>
      <w:r w:rsidR="0033420F">
        <w:t xml:space="preserve"> for years after 2013</w:t>
      </w:r>
      <w:r w:rsidR="001306A8">
        <w:t xml:space="preserve"> are no longer shown in this World Drug Report</w:t>
      </w:r>
      <w:r w:rsidR="00E311A3">
        <w:t>, except for the graph below</w:t>
      </w:r>
      <w:r w:rsidR="001306A8">
        <w:t xml:space="preserve">. </w:t>
      </w:r>
    </w:p>
    <w:p w:rsidR="005933DC" w:rsidRDefault="00A64F4D" w:rsidP="00A64F4D">
      <w:pPr>
        <w:jc w:val="center"/>
      </w:pPr>
      <w:r>
        <w:t xml:space="preserve">Figure: </w:t>
      </w:r>
      <w:r w:rsidR="005933DC">
        <w:t>Estimates of cocaine hydrochloride manufacture in Colombia (tons), 2005-2018</w:t>
      </w:r>
    </w:p>
    <w:p w:rsidR="005933DC" w:rsidRPr="00EE11EC" w:rsidRDefault="00165DE8" w:rsidP="009603EF">
      <w:pPr>
        <w:rPr>
          <w:noProof/>
        </w:rPr>
      </w:pPr>
      <w:r>
        <w:rPr>
          <w:noProof/>
          <w:lang w:val="en-US" w:eastAsia="zh-CN"/>
        </w:rPr>
        <w:drawing>
          <wp:anchor distT="0" distB="0" distL="114300" distR="114300" simplePos="0" relativeHeight="251658247" behindDoc="1" locked="0" layoutInCell="1" allowOverlap="1">
            <wp:simplePos x="0" y="0"/>
            <wp:positionH relativeFrom="column">
              <wp:posOffset>0</wp:posOffset>
            </wp:positionH>
            <wp:positionV relativeFrom="paragraph">
              <wp:posOffset>14605</wp:posOffset>
            </wp:positionV>
            <wp:extent cx="4819650" cy="18224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19650" cy="1822450"/>
                    </a:xfrm>
                    <a:prstGeom prst="rect">
                      <a:avLst/>
                    </a:prstGeom>
                    <a:noFill/>
                  </pic:spPr>
                </pic:pic>
              </a:graphicData>
            </a:graphic>
          </wp:anchor>
        </w:drawing>
      </w:r>
    </w:p>
    <w:p w:rsidR="005933DC" w:rsidRDefault="005933DC" w:rsidP="009603EF">
      <w:pPr>
        <w:rPr>
          <w:noProof/>
        </w:rPr>
      </w:pPr>
    </w:p>
    <w:p w:rsidR="005933DC" w:rsidRDefault="005933DC" w:rsidP="009603EF">
      <w:pPr>
        <w:rPr>
          <w:noProof/>
        </w:rPr>
      </w:pPr>
    </w:p>
    <w:p w:rsidR="005933DC" w:rsidRDefault="005933DC" w:rsidP="009603EF">
      <w:pPr>
        <w:rPr>
          <w:noProof/>
        </w:rPr>
      </w:pPr>
    </w:p>
    <w:p w:rsidR="005933DC" w:rsidRDefault="00165DE8" w:rsidP="009603EF">
      <w:pPr>
        <w:rPr>
          <w:noProof/>
        </w:rPr>
      </w:pPr>
      <w:r>
        <w:rPr>
          <w:noProof/>
          <w:lang w:val="en-US" w:eastAsia="zh-CN"/>
        </w:rPr>
        <w:drawing>
          <wp:anchor distT="0" distB="0" distL="114300" distR="114300" simplePos="0" relativeHeight="251658246" behindDoc="0" locked="0" layoutInCell="1" allowOverlap="1">
            <wp:simplePos x="0" y="0"/>
            <wp:positionH relativeFrom="column">
              <wp:posOffset>298450</wp:posOffset>
            </wp:positionH>
            <wp:positionV relativeFrom="paragraph">
              <wp:posOffset>118745</wp:posOffset>
            </wp:positionV>
            <wp:extent cx="4612640" cy="21463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2640" cy="214630"/>
                    </a:xfrm>
                    <a:prstGeom prst="rect">
                      <a:avLst/>
                    </a:prstGeom>
                    <a:noFill/>
                  </pic:spPr>
                </pic:pic>
              </a:graphicData>
            </a:graphic>
          </wp:anchor>
        </w:drawing>
      </w:r>
    </w:p>
    <w:p w:rsidR="005933DC" w:rsidRPr="006344D0" w:rsidRDefault="005933DC" w:rsidP="009603EF">
      <w:pPr>
        <w:numPr>
          <w:ilvl w:val="0"/>
          <w:numId w:val="22"/>
        </w:numPr>
        <w:rPr>
          <w:noProof/>
        </w:rPr>
      </w:pPr>
      <w:r w:rsidRPr="006344D0">
        <w:rPr>
          <w:noProof/>
        </w:rPr>
        <w:t>Estimated cocaine manufacture prior to the review of conversion ratios</w:t>
      </w:r>
    </w:p>
    <w:p w:rsidR="005933DC" w:rsidRDefault="005933DC" w:rsidP="004B6C86">
      <w:pPr>
        <w:pStyle w:val="ab"/>
        <w:numPr>
          <w:ilvl w:val="0"/>
          <w:numId w:val="33"/>
        </w:numPr>
        <w:rPr>
          <w:noProof/>
        </w:rPr>
      </w:pPr>
      <w:r w:rsidRPr="006344D0">
        <w:rPr>
          <w:noProof/>
        </w:rPr>
        <w:t>Estimated cocaine manufacture following the review of conversion ratios</w:t>
      </w:r>
    </w:p>
    <w:p w:rsidR="005933DC" w:rsidRPr="004B6C86" w:rsidRDefault="005933DC" w:rsidP="004B6C86">
      <w:pPr>
        <w:pStyle w:val="ab"/>
        <w:numPr>
          <w:ilvl w:val="0"/>
          <w:numId w:val="33"/>
        </w:numPr>
        <w:rPr>
          <w:sz w:val="20"/>
          <w:szCs w:val="20"/>
          <w:lang w:val="es-ES"/>
        </w:rPr>
      </w:pPr>
      <w:r w:rsidRPr="004B6C86">
        <w:rPr>
          <w:sz w:val="20"/>
          <w:szCs w:val="20"/>
          <w:lang w:val="es-ES"/>
        </w:rPr>
        <w:t>Source: UNODC and Gobierno de Colombia, Monitoreo de territorios afectados por cultivos ilícitos 2018 (August 2019).</w:t>
      </w:r>
    </w:p>
    <w:p w:rsidR="005933DC" w:rsidRPr="009603EF" w:rsidRDefault="005933DC" w:rsidP="009603EF">
      <w:pPr>
        <w:rPr>
          <w:sz w:val="20"/>
          <w:szCs w:val="20"/>
        </w:rPr>
      </w:pPr>
      <w:r w:rsidRPr="009603EF">
        <w:rPr>
          <w:sz w:val="20"/>
          <w:szCs w:val="20"/>
          <w:vertAlign w:val="superscript"/>
        </w:rPr>
        <w:t xml:space="preserve">a </w:t>
      </w:r>
      <w:r w:rsidRPr="009603EF">
        <w:rPr>
          <w:sz w:val="20"/>
          <w:szCs w:val="20"/>
        </w:rPr>
        <w:t>Years to which the revised conversion ratios were applied.</w:t>
      </w:r>
    </w:p>
    <w:p w:rsidR="005933DC" w:rsidRPr="0092693B" w:rsidRDefault="005933DC" w:rsidP="00F16E68"/>
    <w:p w:rsidR="00676AF1" w:rsidRPr="009603EF" w:rsidRDefault="00BC419E" w:rsidP="009603EF">
      <w:pPr>
        <w:rPr>
          <w:b/>
          <w:bCs/>
        </w:rPr>
      </w:pPr>
      <w:r w:rsidRPr="009603EF">
        <w:rPr>
          <w:b/>
          <w:bCs/>
        </w:rPr>
        <w:t>Peru</w:t>
      </w:r>
    </w:p>
    <w:p w:rsidR="00BC419E" w:rsidRPr="002E1D6F" w:rsidRDefault="00BC419E" w:rsidP="00F16E68">
      <w:r w:rsidRPr="0085745A">
        <w:t>Potential cocaine production in Peru is estimated from potential coca leaf production</w:t>
      </w:r>
      <w:r w:rsidR="007C323B" w:rsidRPr="0085745A">
        <w:t xml:space="preserve"> and</w:t>
      </w:r>
      <w:r w:rsidRPr="002E1D6F">
        <w:t xml:space="preserve"> after deducting the amount of coca leaf estimated to be used for traditional purposes according to Government sources (9,000 mt of sun-dry coca leaf). </w:t>
      </w:r>
    </w:p>
    <w:p w:rsidR="0036585D" w:rsidRPr="0036585D" w:rsidRDefault="00BC419E" w:rsidP="009603EF">
      <w:r w:rsidRPr="0036585D">
        <w:t>The Plurinational State of Bolivia</w:t>
      </w:r>
    </w:p>
    <w:p w:rsidR="003D3863" w:rsidRPr="0027249C" w:rsidRDefault="00BC419E" w:rsidP="00F16E68">
      <w:r w:rsidRPr="0036585D">
        <w:t xml:space="preserve">Potential cocaine production in the Plurinational State of Bolivia is estimated from potential coca leaf production after deducting the amount of coca leaf produced on 12,000 ha in the Yungas of La Paz where coca cultivation </w:t>
      </w:r>
      <w:r w:rsidR="005933DC">
        <w:t xml:space="preserve">has been for years </w:t>
      </w:r>
      <w:r w:rsidRPr="0036585D">
        <w:t>authorized under national law.</w:t>
      </w:r>
      <w:r w:rsidR="008F5A7A">
        <w:t xml:space="preserve"> </w:t>
      </w:r>
    </w:p>
    <w:p w:rsidR="00B707EC" w:rsidRPr="009E2C12" w:rsidRDefault="000C346B" w:rsidP="009603EF">
      <w:pPr>
        <w:pStyle w:val="3"/>
      </w:pPr>
      <w:bookmarkStart w:id="153" w:name="_Toc108702228"/>
      <w:r w:rsidRPr="009E2C12">
        <w:lastRenderedPageBreak/>
        <w:t>“Old” versus “new” conversion ratios for cocaine</w:t>
      </w:r>
      <w:bookmarkEnd w:id="153"/>
      <w:r w:rsidRPr="009E2C12">
        <w:t xml:space="preserve"> </w:t>
      </w:r>
    </w:p>
    <w:p w:rsidR="00E44885" w:rsidRDefault="005328F6" w:rsidP="00F16E68">
      <w:r>
        <w:t>C</w:t>
      </w:r>
      <w:r w:rsidR="00E44885">
        <w:t xml:space="preserve">ocaine estimates based on the “old” and the “new” conversion ratios </w:t>
      </w:r>
      <w:r>
        <w:t xml:space="preserve">are </w:t>
      </w:r>
      <w:r w:rsidR="00E44885">
        <w:t xml:space="preserve">shown. </w:t>
      </w:r>
      <w:r w:rsidR="001552AB">
        <w:t>R</w:t>
      </w:r>
      <w:r w:rsidR="00E44885">
        <w:t>esults based on the “</w:t>
      </w:r>
      <w:r w:rsidR="001552AB">
        <w:t>old</w:t>
      </w:r>
      <w:r w:rsidR="00E44885">
        <w:t xml:space="preserve">” conversion ratios </w:t>
      </w:r>
      <w:r w:rsidR="001552AB">
        <w:t xml:space="preserve">are </w:t>
      </w:r>
      <w:r w:rsidR="00E44885">
        <w:t xml:space="preserve">shown for the years in which no estimates based on the “new” conversion ratios have been available.  </w:t>
      </w:r>
      <w:r w:rsidR="001552AB">
        <w:t>Only for a short period, 2005–2009, estimates based on both the “old” and the “new” conversion ratios are shown, indicating a</w:t>
      </w:r>
      <w:r w:rsidR="005215A5">
        <w:t>n overall</w:t>
      </w:r>
      <w:r w:rsidR="001552AB">
        <w:t xml:space="preserve"> higher level</w:t>
      </w:r>
      <w:r w:rsidR="005215A5">
        <w:t xml:space="preserve"> though similar trends</w:t>
      </w:r>
      <w:r w:rsidR="001552AB">
        <w:t xml:space="preserve"> for </w:t>
      </w:r>
      <w:r w:rsidR="005215A5">
        <w:t xml:space="preserve">the cocaine </w:t>
      </w:r>
      <w:r w:rsidR="001552AB">
        <w:t xml:space="preserve">estimates based on the “new” conversion ratios. </w:t>
      </w:r>
    </w:p>
    <w:p w:rsidR="001B7E2B" w:rsidRPr="002E1D6F" w:rsidRDefault="000C346B" w:rsidP="00F16E68">
      <w:pPr>
        <w:rPr>
          <w:sz w:val="22"/>
          <w:szCs w:val="22"/>
        </w:rPr>
      </w:pPr>
      <w:r w:rsidRPr="0085745A">
        <w:t>In order to estimate cocaine production from the area under coca cultivation, the coca leaf yield per region is estimated based on yield studies as well as – b</w:t>
      </w:r>
      <w:r w:rsidRPr="002E1D6F">
        <w:t xml:space="preserve">ased on experiments in the field - </w:t>
      </w:r>
      <w:r w:rsidR="00C06542">
        <w:t>–</w:t>
      </w:r>
      <w:r w:rsidRPr="002E1D6F">
        <w:t xml:space="preserve">he coca-leaf to coca-paste conversion, the coca-paste to cocaine base conversion and the cocaine-base to cocaine hydrochloride conversion. The results are then adjusted to show an overall conversion ratio from coca leaf to (a potential) 100 per cent pure cocaine hydrochloride. </w:t>
      </w:r>
    </w:p>
    <w:p w:rsidR="001B7E2B" w:rsidRDefault="00E44885" w:rsidP="00F16E68">
      <w:r>
        <w:t>T</w:t>
      </w:r>
      <w:r w:rsidR="000C346B" w:rsidRPr="0036585D">
        <w:t xml:space="preserve">he ‘old’ conversion ratios from coca leaf to cocaine hydrochloride are based on studies conducted by the United States Drug Enforcement Administration (DEA) in the Andean region in the 1990s. The ratios for Colombia – in close cooperation with the Colombian authorities - </w:t>
      </w:r>
      <w:r w:rsidR="00C06542">
        <w:t>–</w:t>
      </w:r>
      <w:r w:rsidR="000C346B" w:rsidRPr="0036585D">
        <w:t xml:space="preserve">ere updated in 2004 and are part of the ‘old’ conversion ratio series. </w:t>
      </w:r>
    </w:p>
    <w:p w:rsidR="005215A5" w:rsidRDefault="000C346B" w:rsidP="00F16E68">
      <w:r w:rsidRPr="0036585D">
        <w:t xml:space="preserve">In subsequent years </w:t>
      </w:r>
      <w:r w:rsidR="00632D15" w:rsidRPr="0036585D">
        <w:t>the DEA</w:t>
      </w:r>
      <w:r w:rsidRPr="0036585D">
        <w:t xml:space="preserve"> undertook </w:t>
      </w:r>
      <w:r w:rsidR="00C06542">
        <w:t>'</w:t>
      </w:r>
      <w:r w:rsidR="00641367">
        <w:t>new’</w:t>
      </w:r>
      <w:r w:rsidRPr="0036585D">
        <w:t xml:space="preserve">studies in Peru (2005) and in </w:t>
      </w:r>
      <w:r w:rsidR="0077784E" w:rsidRPr="0036585D">
        <w:t>the Plurinational Stat</w:t>
      </w:r>
      <w:r w:rsidR="00632D15" w:rsidRPr="0036585D">
        <w:t xml:space="preserve">e </w:t>
      </w:r>
      <w:r w:rsidRPr="0036585D">
        <w:t>of Bolivia (2007-2008)</w:t>
      </w:r>
      <w:r w:rsidR="0077784E" w:rsidRPr="0036585D">
        <w:t xml:space="preserve">, following indications that the laboratory efficiency in these countries may have improved. </w:t>
      </w:r>
    </w:p>
    <w:p w:rsidR="000C346B" w:rsidRDefault="000C346B" w:rsidP="00F16E68">
      <w:r w:rsidRPr="0036585D">
        <w:t xml:space="preserve">The ‘new’ conversion rates </w:t>
      </w:r>
      <w:r w:rsidR="003005E4" w:rsidRPr="0036585D">
        <w:t>use</w:t>
      </w:r>
      <w:r w:rsidRPr="0036585D">
        <w:t>d in this report – for the years 200</w:t>
      </w:r>
      <w:r w:rsidR="00BF4816">
        <w:t>7</w:t>
      </w:r>
      <w:r w:rsidRPr="0036585D">
        <w:t>-</w:t>
      </w:r>
      <w:r w:rsidR="004C43B1">
        <w:t>202</w:t>
      </w:r>
      <w:r w:rsidR="00641367">
        <w:t>1</w:t>
      </w:r>
      <w:r w:rsidR="003005E4" w:rsidRPr="0036585D">
        <w:t xml:space="preserve"> – </w:t>
      </w:r>
      <w:r w:rsidRPr="0036585D">
        <w:t xml:space="preserve">however, have not been reconfirmed so far in national studies as funds for such studies have not been forthcoming. </w:t>
      </w:r>
      <w:r w:rsidR="001B7E2B" w:rsidRPr="0036585D">
        <w:t xml:space="preserve">For this reason, cocaine production data are not shown separately for Peru and the Plurinational State of Bolivia; only the global total </w:t>
      </w:r>
      <w:r w:rsidR="00406B48" w:rsidRPr="0036585D">
        <w:t xml:space="preserve">based on the </w:t>
      </w:r>
      <w:r w:rsidR="005215A5">
        <w:t>”</w:t>
      </w:r>
      <w:r w:rsidR="00406B48" w:rsidRPr="0036585D">
        <w:t>new</w:t>
      </w:r>
      <w:r w:rsidR="005215A5">
        <w:t>”</w:t>
      </w:r>
      <w:r w:rsidR="00406B48" w:rsidRPr="0036585D">
        <w:t xml:space="preserve"> conversion ratio </w:t>
      </w:r>
      <w:r w:rsidR="001B7E2B" w:rsidRPr="0036585D">
        <w:t xml:space="preserve">is shown. </w:t>
      </w:r>
      <w:r w:rsidRPr="0036585D">
        <w:t>The calculations of cocaine production based on the “new” conversion ratios refer to the “new” coca leaf to cocaine hydrochloride transformation ratios found by the DEA for Colombia, Peru and the Plurinational State of Bolivia</w:t>
      </w:r>
      <w:r w:rsidR="001B7E2B" w:rsidRPr="0036585D">
        <w:t xml:space="preserve"> and the updated ratios for Colombia</w:t>
      </w:r>
      <w:r w:rsidRPr="0036585D">
        <w:t>.</w:t>
      </w:r>
      <w:r w:rsidR="00406B48" w:rsidRPr="0036585D">
        <w:t xml:space="preserve"> </w:t>
      </w:r>
      <w:r w:rsidR="001D5540" w:rsidRPr="0036585D">
        <w:t>It should be noted</w:t>
      </w:r>
      <w:r w:rsidR="005215A5">
        <w:t xml:space="preserve"> though</w:t>
      </w:r>
      <w:r w:rsidR="001D5540" w:rsidRPr="0036585D">
        <w:t xml:space="preserve"> that the</w:t>
      </w:r>
      <w:r w:rsidR="00B74B21">
        <w:t xml:space="preserve"> </w:t>
      </w:r>
      <w:r w:rsidR="005215A5">
        <w:t>”</w:t>
      </w:r>
      <w:r w:rsidR="00406B48" w:rsidRPr="0036585D">
        <w:t>new</w:t>
      </w:r>
      <w:r w:rsidR="005215A5">
        <w:t>”</w:t>
      </w:r>
      <w:r w:rsidR="00406B48" w:rsidRPr="0036585D">
        <w:t xml:space="preserve"> conversion ratio</w:t>
      </w:r>
      <w:r w:rsidR="001D5540" w:rsidRPr="0036585D">
        <w:t xml:space="preserve">s are still temporary; </w:t>
      </w:r>
      <w:r w:rsidR="00570A71" w:rsidRPr="0036585D">
        <w:t>they will</w:t>
      </w:r>
      <w:r w:rsidR="00406B48" w:rsidRPr="0036585D">
        <w:t xml:space="preserve"> be updated as soon as new data, jointly established between the </w:t>
      </w:r>
      <w:r w:rsidR="001D5540" w:rsidRPr="0036585D">
        <w:t xml:space="preserve">respective </w:t>
      </w:r>
      <w:r w:rsidR="00406B48" w:rsidRPr="0036585D">
        <w:t xml:space="preserve">Member States and </w:t>
      </w:r>
      <w:r w:rsidR="00406B48" w:rsidRPr="0036585D">
        <w:lastRenderedPageBreak/>
        <w:t xml:space="preserve">UNODC </w:t>
      </w:r>
      <w:r w:rsidR="007E4878" w:rsidRPr="0036585D">
        <w:t>will become</w:t>
      </w:r>
      <w:r w:rsidR="00406B48" w:rsidRPr="0036585D">
        <w:t xml:space="preserve"> available</w:t>
      </w:r>
      <w:r w:rsidRPr="0036585D">
        <w:t xml:space="preserve"> (</w:t>
      </w:r>
      <w:r w:rsidR="00945BA7" w:rsidRPr="0027249C">
        <w:t>f</w:t>
      </w:r>
      <w:r w:rsidRPr="0092693B">
        <w:t xml:space="preserve">or more details, see World Drug Report 2010 (United Nations publication, Sales No. E.10.XI.13, pp. 251 and 252).  </w:t>
      </w:r>
    </w:p>
    <w:p w:rsidR="00D358AE" w:rsidRPr="0036585D" w:rsidRDefault="00D358AE" w:rsidP="009603EF">
      <w:pPr>
        <w:pStyle w:val="1"/>
        <w:numPr>
          <w:ilvl w:val="0"/>
          <w:numId w:val="19"/>
        </w:numPr>
      </w:pPr>
      <w:bookmarkStart w:id="154" w:name="_Toc108621946"/>
      <w:bookmarkStart w:id="155" w:name="_Toc108622970"/>
      <w:bookmarkStart w:id="156" w:name="_Toc92473083"/>
      <w:bookmarkStart w:id="157" w:name="_Toc92473084"/>
      <w:bookmarkStart w:id="158" w:name="_Toc92473085"/>
      <w:bookmarkStart w:id="159" w:name="_Toc92473086"/>
      <w:bookmarkStart w:id="160" w:name="_Toc517172927"/>
      <w:bookmarkStart w:id="161" w:name="_Toc517173021"/>
      <w:bookmarkStart w:id="162" w:name="_Toc517181198"/>
      <w:bookmarkStart w:id="163" w:name="_Toc517181654"/>
      <w:bookmarkStart w:id="164" w:name="_Toc517182299"/>
      <w:bookmarkStart w:id="165" w:name="_Toc108702230"/>
      <w:bookmarkEnd w:id="154"/>
      <w:bookmarkEnd w:id="155"/>
      <w:bookmarkEnd w:id="156"/>
      <w:bookmarkEnd w:id="157"/>
      <w:bookmarkEnd w:id="158"/>
      <w:bookmarkEnd w:id="159"/>
      <w:r w:rsidRPr="0036585D">
        <w:t>Drug trafficking</w:t>
      </w:r>
      <w:bookmarkEnd w:id="160"/>
      <w:bookmarkEnd w:id="161"/>
      <w:bookmarkEnd w:id="162"/>
      <w:bookmarkEnd w:id="163"/>
      <w:bookmarkEnd w:id="164"/>
      <w:bookmarkEnd w:id="165"/>
    </w:p>
    <w:p w:rsidR="00D358AE" w:rsidRPr="009E2C12" w:rsidRDefault="00D358AE" w:rsidP="009603EF">
      <w:pPr>
        <w:pStyle w:val="2"/>
      </w:pPr>
      <w:bookmarkStart w:id="166" w:name="_Toc517172928"/>
      <w:bookmarkStart w:id="167" w:name="_Toc517173022"/>
      <w:bookmarkStart w:id="168" w:name="_Toc108702231"/>
      <w:r w:rsidRPr="009E2C12">
        <w:t>Seizures</w:t>
      </w:r>
      <w:bookmarkEnd w:id="166"/>
      <w:bookmarkEnd w:id="167"/>
      <w:bookmarkEnd w:id="168"/>
    </w:p>
    <w:p w:rsidR="007946B3" w:rsidRDefault="008B156E" w:rsidP="00F16E68">
      <w:r w:rsidRPr="0092693B">
        <w:t xml:space="preserve">The analysis presented in this report is mainly derived from the ARQ responses from Member States up to the </w:t>
      </w:r>
      <w:r w:rsidR="003C02B0">
        <w:t xml:space="preserve">2021 </w:t>
      </w:r>
      <w:r w:rsidRPr="0085745A">
        <w:t xml:space="preserve">reporting year. </w:t>
      </w:r>
      <w:r w:rsidR="007946B3" w:rsidRPr="0036585D">
        <w:t>Seizures are reported in volume terms</w:t>
      </w:r>
      <w:r w:rsidR="007946B3">
        <w:t xml:space="preserve"> (“quantities seized”) </w:t>
      </w:r>
      <w:r w:rsidR="007946B3" w:rsidRPr="0036585D">
        <w:t>as well as in terms of the number of seizure cases.</w:t>
      </w:r>
    </w:p>
    <w:p w:rsidR="00A016EF" w:rsidRPr="0036585D" w:rsidRDefault="008B156E" w:rsidP="00F16E68">
      <w:r w:rsidRPr="0085745A">
        <w:t>Including information from other sources, UNODC was able to obtain</w:t>
      </w:r>
      <w:r w:rsidRPr="002E1D6F">
        <w:t xml:space="preserve"> data</w:t>
      </w:r>
      <w:r w:rsidR="00D6549E">
        <w:t xml:space="preserve"> on quantities of drugs seized</w:t>
      </w:r>
      <w:r w:rsidRPr="002E1D6F">
        <w:t xml:space="preserve"> from</w:t>
      </w:r>
      <w:r w:rsidR="00DC4F73">
        <w:t xml:space="preserve"> 1</w:t>
      </w:r>
      <w:r w:rsidR="001860F6">
        <w:t>3</w:t>
      </w:r>
      <w:r w:rsidR="00DC4F73">
        <w:t>1</w:t>
      </w:r>
      <w:r w:rsidR="00D6549E">
        <w:t xml:space="preserve"> </w:t>
      </w:r>
      <w:r w:rsidR="00022CA6" w:rsidRPr="002E1D6F">
        <w:t xml:space="preserve"> </w:t>
      </w:r>
      <w:r w:rsidRPr="0036585D">
        <w:t xml:space="preserve">countries and territories for </w:t>
      </w:r>
      <w:r w:rsidR="00DC4F73">
        <w:t>202</w:t>
      </w:r>
      <w:r w:rsidR="001860F6">
        <w:t>1</w:t>
      </w:r>
      <w:r w:rsidR="00DC4F73">
        <w:t xml:space="preserve">, </w:t>
      </w:r>
      <w:r w:rsidR="001860F6">
        <w:t>up</w:t>
      </w:r>
      <w:r w:rsidR="00DC4F73">
        <w:t xml:space="preserve"> from </w:t>
      </w:r>
      <w:r w:rsidR="008F22FD">
        <w:t>12</w:t>
      </w:r>
      <w:r w:rsidR="001860F6">
        <w:t>1</w:t>
      </w:r>
      <w:r w:rsidR="008F22FD">
        <w:t xml:space="preserve"> for </w:t>
      </w:r>
      <w:r w:rsidR="00D6549E">
        <w:t>20</w:t>
      </w:r>
      <w:r w:rsidR="001860F6">
        <w:t>20</w:t>
      </w:r>
      <w:r w:rsidR="008F22FD">
        <w:t>.</w:t>
      </w:r>
      <w:r w:rsidRPr="0036585D">
        <w:t xml:space="preserve"> </w:t>
      </w:r>
      <w:r w:rsidR="00594D85" w:rsidRPr="0036585D">
        <w:t xml:space="preserve"> </w:t>
      </w:r>
      <w:r w:rsidRPr="0036585D">
        <w:t xml:space="preserve">Seizures are </w:t>
      </w:r>
      <w:r w:rsidR="00594D85" w:rsidRPr="0036585D">
        <w:t xml:space="preserve">thus </w:t>
      </w:r>
      <w:r w:rsidRPr="0036585D">
        <w:t>the most comprehensive indicator of the drug situation and its evolution at the global level. Although seizures may not always reflect trafficking trends correctly at the national level, they tend to show reasonable representations of trends at the regional and global levels</w:t>
      </w:r>
      <w:r w:rsidR="008F22FD">
        <w:t>, unless affected by major policy changes (such as legalization of cannabis herb in several jurisdictions in the Americas)</w:t>
      </w:r>
      <w:r w:rsidRPr="0036585D">
        <w:t>.</w:t>
      </w:r>
      <w:r w:rsidR="00A016EF" w:rsidRPr="0036585D">
        <w:t xml:space="preserve"> </w:t>
      </w:r>
    </w:p>
    <w:p w:rsidR="008B156E" w:rsidRPr="0036585D" w:rsidRDefault="00A26DC4" w:rsidP="009603EF">
      <w:r w:rsidRPr="0036585D">
        <w:t xml:space="preserve">The analysis of seizure cases enables a direct comparison of data across drug categories. </w:t>
      </w:r>
      <w:r w:rsidR="00A016EF" w:rsidRPr="0036585D">
        <w:t>Reporting</w:t>
      </w:r>
      <w:r w:rsidRPr="0036585D">
        <w:t xml:space="preserve"> of</w:t>
      </w:r>
      <w:r w:rsidR="00A016EF" w:rsidRPr="0036585D">
        <w:t xml:space="preserve"> seizure cases is</w:t>
      </w:r>
      <w:r w:rsidRPr="0036585D">
        <w:t xml:space="preserve">, however, </w:t>
      </w:r>
      <w:r w:rsidR="00A016EF" w:rsidRPr="0036585D">
        <w:t>less comprehensive. A total of</w:t>
      </w:r>
      <w:r w:rsidR="0073196F">
        <w:t xml:space="preserve"> </w:t>
      </w:r>
      <w:r w:rsidR="009C78C6">
        <w:t>64</w:t>
      </w:r>
      <w:r w:rsidR="005811F8" w:rsidRPr="0036585D">
        <w:t xml:space="preserve"> </w:t>
      </w:r>
      <w:r w:rsidR="00A016EF" w:rsidRPr="0036585D">
        <w:t>countries and territories reported seizure cases to UNO</w:t>
      </w:r>
      <w:r w:rsidR="0084335E" w:rsidRPr="0036585D">
        <w:t>D</w:t>
      </w:r>
      <w:r w:rsidR="00A016EF" w:rsidRPr="0036585D">
        <w:t xml:space="preserve">C in </w:t>
      </w:r>
      <w:r w:rsidR="0073196F">
        <w:t>202</w:t>
      </w:r>
      <w:r w:rsidR="009C78C6">
        <w:t>1</w:t>
      </w:r>
      <w:r w:rsidR="00A016EF" w:rsidRPr="0036585D">
        <w:t xml:space="preserve">. </w:t>
      </w:r>
    </w:p>
    <w:p w:rsidR="008B156E" w:rsidRPr="0092693B" w:rsidRDefault="008B156E" w:rsidP="005A43D2">
      <w:r w:rsidRPr="0036585D">
        <w:t xml:space="preserve">Countries </w:t>
      </w:r>
      <w:r w:rsidR="00A26DC4" w:rsidRPr="0036585D">
        <w:t>reporting seizures of drug</w:t>
      </w:r>
      <w:r w:rsidR="002D45D1">
        <w:t>s</w:t>
      </w:r>
      <w:r w:rsidR="00A26DC4" w:rsidRPr="0036585D">
        <w:t xml:space="preserve"> in volume terms </w:t>
      </w:r>
      <w:r w:rsidRPr="0036585D">
        <w:t>may report seizures using a variety of units, primarily by weight (kg) but also in litres, tablets, doses, blotters, capsules, ampoules, et cetera. When reporting about individual countries in individual years, UNODC endeavours to be as faithful as possible to the reports received, but often it is necessary to aggregate data of different types for the purposes of comparison. For the aggregation, conversion factors are used to convert the quantities into ‘kilogram equivalents’ (or ‘ton equivalents’). UNODC continues to record and report the disaggregated raw data, which are available in the seizure listings published at:</w:t>
      </w:r>
      <w:r w:rsidR="002D45D1">
        <w:t xml:space="preserve"> </w:t>
      </w:r>
      <w:r w:rsidR="00BC607E" w:rsidRPr="00BC607E">
        <w:t>https://www.unodc.org/unodc/en/data-and-analysis/wdr2023_annex.html</w:t>
      </w:r>
      <w:r w:rsidR="005A43D2">
        <w:t xml:space="preserve"> </w:t>
      </w:r>
      <w:r w:rsidR="008A6000">
        <w:t xml:space="preserve">under 7.1 Drug seizures </w:t>
      </w:r>
      <w:r w:rsidR="0073196F" w:rsidRPr="004208F4">
        <w:t>201</w:t>
      </w:r>
      <w:r w:rsidR="00BC607E">
        <w:t>7</w:t>
      </w:r>
      <w:r w:rsidR="0073196F" w:rsidRPr="009603EF">
        <w:t>‒202</w:t>
      </w:r>
      <w:r w:rsidR="00BC607E">
        <w:t>1</w:t>
      </w:r>
      <w:r w:rsidR="008A6000">
        <w:t>.</w:t>
      </w:r>
      <w:r w:rsidR="00A01AED">
        <w:t xml:space="preserve"> </w:t>
      </w:r>
      <w:r w:rsidRPr="0092693B">
        <w:t xml:space="preserve">In these tables, seizure quantities are reproduced as reported. In the rest of the Report, seizure data are often aggregated and transformed into </w:t>
      </w:r>
      <w:r w:rsidR="002D45D1">
        <w:t>a</w:t>
      </w:r>
      <w:r w:rsidR="008A6000">
        <w:t xml:space="preserve"> </w:t>
      </w:r>
      <w:r w:rsidRPr="0092693B">
        <w:t>unique unit of measurement</w:t>
      </w:r>
      <w:r w:rsidR="002D45D1">
        <w:t xml:space="preserve"> (</w:t>
      </w:r>
      <w:r w:rsidR="008A6000">
        <w:t>such as “</w:t>
      </w:r>
      <w:r w:rsidR="002D45D1">
        <w:t xml:space="preserve">kilogram </w:t>
      </w:r>
      <w:r w:rsidR="002D45D1">
        <w:lastRenderedPageBreak/>
        <w:t>equivalents</w:t>
      </w:r>
      <w:r w:rsidR="008A6000">
        <w:t>”</w:t>
      </w:r>
      <w:r w:rsidR="002D45D1">
        <w:t xml:space="preserve"> or </w:t>
      </w:r>
      <w:r w:rsidR="008A6000">
        <w:t>“</w:t>
      </w:r>
      <w:r w:rsidR="002D45D1">
        <w:t>ton equivalents</w:t>
      </w:r>
      <w:r w:rsidR="008A6000">
        <w:t>”</w:t>
      </w:r>
      <w:r w:rsidR="002D45D1">
        <w:t>)</w:t>
      </w:r>
      <w:r w:rsidRPr="0092693B">
        <w:t>. Moreover, at some points in the analysis, purity adjustments are made where relevant and where the availability of data allows.</w:t>
      </w:r>
    </w:p>
    <w:p w:rsidR="008B156E" w:rsidRPr="0036585D" w:rsidRDefault="008B156E" w:rsidP="00F16E68">
      <w:r w:rsidRPr="0092693B">
        <w:t xml:space="preserve">The conversion factors affect seizure totals of amphetamine-type stimulants </w:t>
      </w:r>
      <w:r w:rsidR="0084335E" w:rsidRPr="0092693B">
        <w:t>(ATS)</w:t>
      </w:r>
      <w:r w:rsidR="00570A71" w:rsidRPr="0085745A">
        <w:t xml:space="preserve">, </w:t>
      </w:r>
      <w:r w:rsidR="00570A71" w:rsidRPr="002E1D6F">
        <w:t>as a</w:t>
      </w:r>
      <w:r w:rsidRPr="002E1D6F">
        <w:t xml:space="preserve"> significant share of seizures of these drug types is reported in</w:t>
      </w:r>
      <w:r w:rsidR="009B5BA2" w:rsidRPr="0036585D">
        <w:t xml:space="preserve"> terms of the</w:t>
      </w:r>
      <w:r w:rsidRPr="0036585D">
        <w:t xml:space="preserve"> number of tablets. Apart from seizures of ATS tablets, drug seizures are mainly reported to UNODC by weight</w:t>
      </w:r>
      <w:r w:rsidR="009B5BA2" w:rsidRPr="0036585D">
        <w:t>, and sometimes by volume</w:t>
      </w:r>
      <w:r w:rsidR="0084335E" w:rsidRPr="0036585D">
        <w:t>.</w:t>
      </w:r>
      <w:r w:rsidRPr="0036585D">
        <w:t xml:space="preserve"> This includes seizures of ATS which are not seized in tablet form (for </w:t>
      </w:r>
      <w:r w:rsidR="00570A71" w:rsidRPr="0036585D">
        <w:t>example, ATS</w:t>
      </w:r>
      <w:r w:rsidRPr="0036585D">
        <w:t xml:space="preserve"> in powder</w:t>
      </w:r>
      <w:r w:rsidR="00942524" w:rsidRPr="0036585D">
        <w:t>, crystalline or liquid form</w:t>
      </w:r>
      <w:r w:rsidRPr="0036585D">
        <w:t>) as well as seizures of other drug types, such as heroin and cocaine. Moreover, ATS seizures made in tablet form are also sometimes reported by weight, and in some cases, the reported total</w:t>
      </w:r>
      <w:r w:rsidR="009B5BA2" w:rsidRPr="0036585D">
        <w:t xml:space="preserve"> aggregated</w:t>
      </w:r>
      <w:r w:rsidRPr="0036585D">
        <w:t xml:space="preserve"> weight possibly includes ATS seized in different forms. Reports of seizures by weight usually refer to the bulk weight of seizures, including adulterants and diluents, rather than the amount of controlled substance</w:t>
      </w:r>
      <w:r w:rsidR="00772253" w:rsidRPr="0036585D">
        <w:t xml:space="preserve"> only</w:t>
      </w:r>
      <w:r w:rsidRPr="0036585D">
        <w:t xml:space="preserve">. Moreover, given the availability of data, accurate purity adjustments for bulk seizure totals in individual countries are feasible in </w:t>
      </w:r>
      <w:r w:rsidR="00772253" w:rsidRPr="0036585D">
        <w:t xml:space="preserve">only </w:t>
      </w:r>
      <w:r w:rsidRPr="0036585D">
        <w:t>a minority of cases, as they would require information on purity on a case by case basis or statistically calibrated data, such as a weighted average or a distribution. The bulk weight of tablets is easier to obtain and less variable.</w:t>
      </w:r>
    </w:p>
    <w:p w:rsidR="00D358AE" w:rsidRPr="0036585D" w:rsidRDefault="008B156E" w:rsidP="00F16E68">
      <w:r w:rsidRPr="0036585D">
        <w:t xml:space="preserve">To ensure the comparability of seizure totals across different years and countries, UNODC uses conversion factors for ATS tablets intended to reflect the bulk weight of the tablets rather than the amount of controlled substance. The factors used in this edition of the </w:t>
      </w:r>
      <w:r w:rsidRPr="0036585D">
        <w:rPr>
          <w:i/>
        </w:rPr>
        <w:t>World Drug Report</w:t>
      </w:r>
      <w:r w:rsidRPr="0036585D">
        <w:t xml:space="preserve"> are based on available forensic studies and range between 90 mg and 300 mg, depending on the region and the drug type, and also apply to other units which are presumed to represent a single consumption unit (dose). The table below lists the factors used </w:t>
      </w:r>
      <w:r w:rsidR="003F5B39" w:rsidRPr="0036585D">
        <w:t>for</w:t>
      </w:r>
      <w:r w:rsidRPr="0036585D">
        <w:t xml:space="preserve"> ATS</w:t>
      </w:r>
      <w:r w:rsidR="003F5B39" w:rsidRPr="0036585D">
        <w:t>, by type and region</w:t>
      </w:r>
      <w:r w:rsidRPr="0036585D">
        <w:t xml:space="preserve">. The conversion factors remain subject to revision as the information available to UNODC improves. </w:t>
      </w:r>
    </w:p>
    <w:bookmarkStart w:id="169" w:name="_MON_1400070976"/>
    <w:bookmarkStart w:id="170" w:name="_MON_1366641764"/>
    <w:bookmarkStart w:id="171" w:name="_MON_1366641814"/>
    <w:bookmarkStart w:id="172" w:name="_MON_1366641891"/>
    <w:bookmarkEnd w:id="169"/>
    <w:bookmarkEnd w:id="170"/>
    <w:bookmarkEnd w:id="171"/>
    <w:bookmarkEnd w:id="172"/>
    <w:bookmarkStart w:id="173" w:name="_MON_1366641968"/>
    <w:bookmarkEnd w:id="173"/>
    <w:p w:rsidR="00D358AE" w:rsidRPr="0092693B" w:rsidRDefault="00CA12DD" w:rsidP="009603EF">
      <w:r w:rsidRPr="0092693B">
        <w:object w:dxaOrig="13873" w:dyaOrig="4284">
          <v:shape id="_x0000_i1025" type="#_x0000_t75" style="width:475.5pt;height:168.75pt" o:ole="">
            <v:imagedata r:id="rId33" o:title=""/>
          </v:shape>
          <o:OLEObject Type="Embed" ProgID="Excel.Sheet.8" ShapeID="_x0000_i1025" DrawAspect="Content" ObjectID="_1771963866" r:id="rId34"/>
        </w:object>
      </w:r>
    </w:p>
    <w:p w:rsidR="008A6000" w:rsidRDefault="00AE1280" w:rsidP="00F16E68">
      <w:r w:rsidRPr="0092693B">
        <w:t>For the other drug types,</w:t>
      </w:r>
      <w:r w:rsidR="00F92E23" w:rsidRPr="0092693B">
        <w:t xml:space="preserve"> the weight of</w:t>
      </w:r>
      <w:r w:rsidRPr="0092693B">
        <w:t xml:space="preserve"> </w:t>
      </w:r>
      <w:r w:rsidR="00D358AE" w:rsidRPr="0085745A">
        <w:t>a ‘typical consumption unit’ was assumed to be</w:t>
      </w:r>
      <w:r w:rsidR="00F92E23" w:rsidRPr="0085745A">
        <w:t>:</w:t>
      </w:r>
      <w:r w:rsidR="00D358AE" w:rsidRPr="002E1D6F">
        <w:t xml:space="preserve"> for cannabis herb, 5</w:t>
      </w:r>
      <w:r w:rsidR="003D1B7F" w:rsidRPr="002E1D6F">
        <w:t>00</w:t>
      </w:r>
      <w:r w:rsidR="00D358AE" w:rsidRPr="0036585D">
        <w:t xml:space="preserve"> </w:t>
      </w:r>
      <w:r w:rsidR="003D1B7F" w:rsidRPr="0036585D">
        <w:t>m</w:t>
      </w:r>
      <w:r w:rsidR="00D358AE" w:rsidRPr="0036585D">
        <w:t xml:space="preserve">g; for cannabis resin, 135 </w:t>
      </w:r>
      <w:r w:rsidR="003D1B7F" w:rsidRPr="0036585D">
        <w:t>m</w:t>
      </w:r>
      <w:r w:rsidR="00D358AE" w:rsidRPr="0036585D">
        <w:t>g; cocaine and morphine, 1</w:t>
      </w:r>
      <w:r w:rsidR="003D1B7F" w:rsidRPr="0036585D">
        <w:t>00</w:t>
      </w:r>
      <w:r w:rsidR="00D358AE" w:rsidRPr="0036585D">
        <w:t xml:space="preserve"> </w:t>
      </w:r>
      <w:r w:rsidR="003D1B7F" w:rsidRPr="0036585D">
        <w:t>m</w:t>
      </w:r>
      <w:r w:rsidR="00D358AE" w:rsidRPr="0036585D">
        <w:t>g; heroin, 3</w:t>
      </w:r>
      <w:r w:rsidR="003D1B7F" w:rsidRPr="0036585D">
        <w:t>0</w:t>
      </w:r>
      <w:r w:rsidR="00D358AE" w:rsidRPr="0036585D">
        <w:t xml:space="preserve"> </w:t>
      </w:r>
      <w:r w:rsidR="003D1B7F" w:rsidRPr="0036585D">
        <w:t>m</w:t>
      </w:r>
      <w:r w:rsidR="00D358AE" w:rsidRPr="0036585D">
        <w:t xml:space="preserve">g; LSD, 0.05 </w:t>
      </w:r>
      <w:r w:rsidR="003D1B7F" w:rsidRPr="0036585D">
        <w:t>m</w:t>
      </w:r>
      <w:r w:rsidR="00D358AE" w:rsidRPr="0036585D">
        <w:t>g (50 micrograms); and opium, 3</w:t>
      </w:r>
      <w:r w:rsidR="003D1B7F" w:rsidRPr="0036585D">
        <w:t>00</w:t>
      </w:r>
      <w:r w:rsidR="00D358AE" w:rsidRPr="0036585D">
        <w:t xml:space="preserve"> </w:t>
      </w:r>
      <w:r w:rsidR="003D1B7F" w:rsidRPr="0036585D">
        <w:t>m</w:t>
      </w:r>
      <w:r w:rsidR="00D358AE" w:rsidRPr="0036585D">
        <w:t xml:space="preserve">g. For opiate seizures (unless specified differently in the text), it was assumed that 10 kg of opium were equivalent to 1 kg of morphine or heroin. </w:t>
      </w:r>
      <w:r w:rsidR="008A6000" w:rsidRPr="0036585D">
        <w:t>As in previous editions of the World Drug Report, seizures quantified by volume (litres) are aggregated using a conversion ratio of 1 kilogram per litre, which applies to all drug types. Cannabis plants are assumed to have an average weight of 100 grams.</w:t>
      </w:r>
    </w:p>
    <w:p w:rsidR="00D358AE" w:rsidRDefault="00D358AE" w:rsidP="00F16E68">
      <w:r w:rsidRPr="0036585D">
        <w:t>Though these transformation ratios can be disputed, they provide a means of combining the different seizure reports into one comprehensive measure. The transformation ratios have been derived from those normally used by law enforcement agencies, in the scientific literature and by the International Narcotics Control Board, and were established in consultation with UNODC’s Laboratory and Scientific Section.</w:t>
      </w:r>
      <w:r w:rsidR="00AE1280" w:rsidRPr="0036585D">
        <w:t xml:space="preserve"> </w:t>
      </w:r>
    </w:p>
    <w:p w:rsidR="00F84D9C" w:rsidRDefault="00834A8B" w:rsidP="00F16E68">
      <w:r>
        <w:t xml:space="preserve">A special challenge has been the emergence of </w:t>
      </w:r>
      <w:r w:rsidRPr="004B6C86">
        <w:rPr>
          <w:b/>
          <w:bCs/>
        </w:rPr>
        <w:t>pharmaceutical opioids</w:t>
      </w:r>
      <w:r>
        <w:t xml:space="preserve"> in recent years. For the year</w:t>
      </w:r>
      <w:r w:rsidR="007A41B7">
        <w:t xml:space="preserve"> 2021 </w:t>
      </w:r>
      <w:r>
        <w:t xml:space="preserve">  </w:t>
      </w:r>
      <w:r w:rsidR="00E919B5">
        <w:t xml:space="preserve">total seizures of </w:t>
      </w:r>
      <w:r w:rsidR="003549AE">
        <w:t>135</w:t>
      </w:r>
      <w:r w:rsidR="005500A3">
        <w:t xml:space="preserve"> </w:t>
      </w:r>
      <w:r w:rsidR="00E919B5">
        <w:t xml:space="preserve"> tons of codeine, </w:t>
      </w:r>
      <w:r w:rsidR="00073DFD">
        <w:t>35</w:t>
      </w:r>
      <w:r w:rsidR="005500A3">
        <w:t xml:space="preserve"> </w:t>
      </w:r>
      <w:r w:rsidR="00E919B5">
        <w:t>tons of tramadol</w:t>
      </w:r>
      <w:r w:rsidR="00134A66">
        <w:t>,</w:t>
      </w:r>
      <w:r w:rsidR="00E919B5">
        <w:t xml:space="preserve"> </w:t>
      </w:r>
      <w:r w:rsidR="00073DFD">
        <w:t>14</w:t>
      </w:r>
      <w:r w:rsidR="005500A3">
        <w:t xml:space="preserve"> </w:t>
      </w:r>
      <w:r w:rsidR="00E919B5">
        <w:t xml:space="preserve">tons of fentanyl </w:t>
      </w:r>
      <w:r w:rsidR="00134A66">
        <w:t>and 7 tons of other pharmaceutical opioids</w:t>
      </w:r>
      <w:r w:rsidR="00E919B5">
        <w:t xml:space="preserve"> </w:t>
      </w:r>
      <w:r w:rsidR="00134A66">
        <w:t>were reported</w:t>
      </w:r>
      <w:r>
        <w:t>.</w:t>
      </w:r>
      <w:r w:rsidR="00F84D9C">
        <w:t xml:space="preserve"> Such seizure figures, </w:t>
      </w:r>
      <w:r>
        <w:t xml:space="preserve">without any further adjustments, </w:t>
      </w:r>
      <w:r w:rsidR="00F84D9C">
        <w:t xml:space="preserve">however, may be misleading as doses across pharmaceutical opioids vary significantly. </w:t>
      </w:r>
    </w:p>
    <w:p w:rsidR="00535FCA" w:rsidRDefault="001C1908" w:rsidP="00F16E68">
      <w:r>
        <w:t xml:space="preserve">Directly comparable doses are, however, difficult to identify. </w:t>
      </w:r>
      <w:r w:rsidR="00134A66">
        <w:t xml:space="preserve">One of the </w:t>
      </w:r>
      <w:r>
        <w:t xml:space="preserve">most comprehensive data set in this regard are the defined daily doses for statistical purposes (S-DDD), </w:t>
      </w:r>
      <w:r>
        <w:lastRenderedPageBreak/>
        <w:t xml:space="preserve">established – with the help of experts -  by the INCB. </w:t>
      </w:r>
      <w:r w:rsidR="00535FCA">
        <w:t>For the transformation of seizures of pharmaceutical opioids into doses</w:t>
      </w:r>
      <w:r>
        <w:t xml:space="preserve"> such </w:t>
      </w:r>
      <w:r w:rsidR="0053600D">
        <w:t>S-DDD</w:t>
      </w:r>
      <w:r w:rsidR="00535FCA">
        <w:t>,</w:t>
      </w:r>
      <w:r w:rsidR="0053600D">
        <w:t xml:space="preserve"> shown in </w:t>
      </w:r>
      <w:r w:rsidR="00535FCA">
        <w:t xml:space="preserve">milligrams </w:t>
      </w:r>
      <w:r>
        <w:t xml:space="preserve">of various substances </w:t>
      </w:r>
      <w:r w:rsidR="00535FCA">
        <w:t xml:space="preserve">per </w:t>
      </w:r>
      <w:r>
        <w:t xml:space="preserve">day, were used: </w:t>
      </w:r>
      <w:r w:rsidR="00535FCA">
        <w:t xml:space="preserve">  </w:t>
      </w:r>
    </w:p>
    <w:p w:rsidR="001C1908" w:rsidRPr="009603EF" w:rsidRDefault="00037D7F" w:rsidP="00F16E68">
      <w:pPr>
        <w:rPr>
          <w:sz w:val="22"/>
          <w:szCs w:val="22"/>
        </w:rPr>
      </w:pPr>
      <w:r>
        <w:t xml:space="preserve">             </w:t>
      </w:r>
      <w:r w:rsidR="00834A8B">
        <w:tab/>
      </w:r>
      <w:r w:rsidR="00742CFD">
        <w:t xml:space="preserve">                 </w:t>
      </w:r>
      <w:r w:rsidR="001C1908" w:rsidRPr="009603EF">
        <w:rPr>
          <w:sz w:val="22"/>
          <w:szCs w:val="22"/>
        </w:rPr>
        <w:t xml:space="preserve">Substance                       </w:t>
      </w:r>
      <w:r w:rsidR="00742CFD" w:rsidRPr="009603EF">
        <w:rPr>
          <w:sz w:val="22"/>
          <w:szCs w:val="22"/>
        </w:rPr>
        <w:t xml:space="preserve"> </w:t>
      </w:r>
      <w:r w:rsidR="001C1908" w:rsidRPr="009603EF">
        <w:rPr>
          <w:sz w:val="22"/>
          <w:szCs w:val="22"/>
        </w:rPr>
        <w:t xml:space="preserve"> </w:t>
      </w:r>
      <w:r w:rsidR="00742CFD" w:rsidRPr="009603EF">
        <w:rPr>
          <w:sz w:val="22"/>
          <w:szCs w:val="22"/>
        </w:rPr>
        <w:t xml:space="preserve">     </w:t>
      </w:r>
      <w:r w:rsidR="001C1908" w:rsidRPr="009603EF">
        <w:rPr>
          <w:sz w:val="22"/>
          <w:szCs w:val="22"/>
        </w:rPr>
        <w:t xml:space="preserve"> S-DDD in mg</w:t>
      </w:r>
    </w:p>
    <w:p w:rsidR="00834A8B" w:rsidRDefault="00165DE8" w:rsidP="00834A8B">
      <w:pPr>
        <w:jc w:val="center"/>
        <w:rPr>
          <w:noProof/>
        </w:rPr>
      </w:pPr>
      <w:r>
        <w:rPr>
          <w:noProof/>
          <w:lang w:val="en-US" w:eastAsia="zh-CN"/>
        </w:rPr>
        <w:drawing>
          <wp:inline distT="0" distB="0" distL="0" distR="0">
            <wp:extent cx="3114675" cy="21812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14675" cy="2181225"/>
                    </a:xfrm>
                    <a:prstGeom prst="rect">
                      <a:avLst/>
                    </a:prstGeom>
                    <a:noFill/>
                    <a:ln>
                      <a:noFill/>
                    </a:ln>
                  </pic:spPr>
                </pic:pic>
              </a:graphicData>
            </a:graphic>
          </wp:inline>
        </w:drawing>
      </w:r>
    </w:p>
    <w:p w:rsidR="00834A8B" w:rsidRDefault="00165DE8" w:rsidP="00834A8B">
      <w:pPr>
        <w:widowControl w:val="0"/>
        <w:jc w:val="center"/>
        <w:rPr>
          <w:noProof/>
        </w:rPr>
      </w:pPr>
      <w:r>
        <w:rPr>
          <w:noProof/>
          <w:lang w:val="en-US" w:eastAsia="zh-CN"/>
        </w:rPr>
        <w:drawing>
          <wp:inline distT="0" distB="0" distL="0" distR="0">
            <wp:extent cx="3095625" cy="41243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5625" cy="4124325"/>
                    </a:xfrm>
                    <a:prstGeom prst="rect">
                      <a:avLst/>
                    </a:prstGeom>
                    <a:noFill/>
                    <a:ln>
                      <a:noFill/>
                    </a:ln>
                  </pic:spPr>
                </pic:pic>
              </a:graphicData>
            </a:graphic>
          </wp:inline>
        </w:drawing>
      </w:r>
    </w:p>
    <w:p w:rsidR="00834A8B" w:rsidRPr="00433A9E" w:rsidRDefault="00834A8B" w:rsidP="00834A8B">
      <w:pPr>
        <w:widowControl w:val="0"/>
        <w:jc w:val="center"/>
        <w:rPr>
          <w:noProof/>
          <w:sz w:val="20"/>
          <w:szCs w:val="20"/>
        </w:rPr>
      </w:pPr>
      <w:r w:rsidRPr="00433A9E">
        <w:rPr>
          <w:noProof/>
          <w:sz w:val="20"/>
          <w:szCs w:val="20"/>
        </w:rPr>
        <w:t xml:space="preserve">Source: INCB, Narcotic Drugs </w:t>
      </w:r>
      <w:r>
        <w:rPr>
          <w:noProof/>
          <w:sz w:val="20"/>
          <w:szCs w:val="20"/>
        </w:rPr>
        <w:t>2019  (New York 2020)</w:t>
      </w:r>
      <w:r w:rsidRPr="00433A9E">
        <w:rPr>
          <w:noProof/>
          <w:sz w:val="20"/>
          <w:szCs w:val="20"/>
        </w:rPr>
        <w:t>.</w:t>
      </w:r>
    </w:p>
    <w:p w:rsidR="00766E63" w:rsidRDefault="00766E63" w:rsidP="00F16E68">
      <w:pPr>
        <w:rPr>
          <w:noProof/>
        </w:rPr>
      </w:pPr>
      <w:r>
        <w:rPr>
          <w:noProof/>
        </w:rPr>
        <w:lastRenderedPageBreak/>
        <w:t xml:space="preserve">For buprenorphine, a S-DDD of 8 mg </w:t>
      </w:r>
      <w:r w:rsidR="0065614E">
        <w:rPr>
          <w:noProof/>
        </w:rPr>
        <w:t>-</w:t>
      </w:r>
      <w:r>
        <w:rPr>
          <w:noProof/>
        </w:rPr>
        <w:t xml:space="preserve"> as reported by the INCB in its annual report on Psychotgropic Substances</w:t>
      </w:r>
      <w:r w:rsidR="00B75B1B">
        <w:rPr>
          <w:rStyle w:val="a4"/>
          <w:noProof/>
        </w:rPr>
        <w:footnoteReference w:id="26"/>
      </w:r>
      <w:r>
        <w:rPr>
          <w:noProof/>
        </w:rPr>
        <w:t xml:space="preserve"> </w:t>
      </w:r>
      <w:r w:rsidR="0065614E">
        <w:rPr>
          <w:noProof/>
        </w:rPr>
        <w:t xml:space="preserve">- </w:t>
      </w:r>
      <w:r>
        <w:rPr>
          <w:noProof/>
        </w:rPr>
        <w:t xml:space="preserve">was used. </w:t>
      </w:r>
    </w:p>
    <w:p w:rsidR="006308B4" w:rsidRDefault="0053600D" w:rsidP="00F16E68">
      <w:r>
        <w:t>No such conversion ratios</w:t>
      </w:r>
      <w:r w:rsidR="001C1908">
        <w:t>, however,</w:t>
      </w:r>
      <w:r>
        <w:t xml:space="preserve"> have been </w:t>
      </w:r>
      <w:r w:rsidR="001C1908">
        <w:t xml:space="preserve">established </w:t>
      </w:r>
      <w:r w:rsidR="00766E63">
        <w:t xml:space="preserve">by the INCB </w:t>
      </w:r>
      <w:r w:rsidR="001C1908">
        <w:t>f</w:t>
      </w:r>
      <w:r>
        <w:t xml:space="preserve">or </w:t>
      </w:r>
      <w:r w:rsidR="00535FCA">
        <w:t>tramadol</w:t>
      </w:r>
      <w:r>
        <w:t xml:space="preserve"> as this substance </w:t>
      </w:r>
      <w:r w:rsidR="00535FCA">
        <w:t xml:space="preserve">is not under </w:t>
      </w:r>
      <w:r>
        <w:t xml:space="preserve">international control. In this case, </w:t>
      </w:r>
      <w:r w:rsidR="00882F65">
        <w:t xml:space="preserve">a review of </w:t>
      </w:r>
      <w:r w:rsidR="00FF1EF9">
        <w:t xml:space="preserve">doses provided in the literature ranged from 50 to 400 mg </w:t>
      </w:r>
      <w:r w:rsidR="0049387D">
        <w:t xml:space="preserve">per day </w:t>
      </w:r>
      <w:r w:rsidR="00FF1EF9">
        <w:t>with a median of around 250 mg</w:t>
      </w:r>
      <w:r w:rsidR="0049387D">
        <w:t xml:space="preserve"> per day</w:t>
      </w:r>
      <w:r w:rsidR="006308B4">
        <w:t xml:space="preserve">. </w:t>
      </w:r>
      <w:r w:rsidR="00766E63">
        <w:t xml:space="preserve">(Tramadol tablets typically contain between 50 and 250 mg, i.e. the median daily dose would be equivalent to between 1 and 5 tablets, depending on the strength of the tablet). </w:t>
      </w:r>
      <w:r w:rsidR="006308B4">
        <w:t xml:space="preserve">This </w:t>
      </w:r>
      <w:r w:rsidR="00E97C6F">
        <w:t xml:space="preserve">ratio </w:t>
      </w:r>
      <w:r w:rsidR="00403CA1">
        <w:t xml:space="preserve">can be </w:t>
      </w:r>
      <w:r w:rsidR="00FF1EF9">
        <w:t xml:space="preserve">used as the best estimate </w:t>
      </w:r>
      <w:r w:rsidR="006308B4">
        <w:t>for converting reported seizures into</w:t>
      </w:r>
      <w:r w:rsidR="00E97C6F">
        <w:t xml:space="preserve"> daily </w:t>
      </w:r>
      <w:r w:rsidR="006308B4">
        <w:t>doses of seized drugs</w:t>
      </w:r>
      <w:r w:rsidR="00FF1EF9">
        <w:t>.</w:t>
      </w:r>
    </w:p>
    <w:p w:rsidR="00AE5281" w:rsidRDefault="00AE5281" w:rsidP="00F16E68">
      <w:r>
        <w:t xml:space="preserve">Moreover, reports suggest that most of the codeine seized </w:t>
      </w:r>
      <w:r w:rsidR="00834A8B">
        <w:t xml:space="preserve">in recent years has been in </w:t>
      </w:r>
      <w:r>
        <w:t xml:space="preserve">South Asia in the form of cough syrup while most of the fentanyl was seized in the United States and was heavily diluted. </w:t>
      </w:r>
    </w:p>
    <w:p w:rsidR="008237B8" w:rsidRDefault="003C744D" w:rsidP="00F16E68">
      <w:r w:rsidRPr="003C744D">
        <w:t xml:space="preserve">For the purposes of this report, the quantities seized were first transformed into S-DDDs (defined daily doses for statistical purposes) as provided by the INCB. Thus, for codeine a conversion ratio of 100 mg for one daily dose was used (as found for the use of codeine as a cough suppressant);  for oxycodone 75 mg were used;  for methadone 25 mg; for buprenorphine 8 mg and for fentanyl 0.6 mg were used.   </w:t>
      </w:r>
    </w:p>
    <w:p w:rsidR="008237B8" w:rsidRDefault="003C744D" w:rsidP="00F16E68">
      <w:r w:rsidRPr="003C744D">
        <w:t>For substances which are not under international control (and for which no official S-DDDs were established), such as tramadol, a review of the literature (including grey literature)</w:t>
      </w:r>
      <w:r w:rsidR="00400A97">
        <w:t xml:space="preserve">, as discussed above, </w:t>
      </w:r>
      <w:r w:rsidR="006030D5">
        <w:t xml:space="preserve">gave as a </w:t>
      </w:r>
      <w:r w:rsidRPr="003C744D">
        <w:t>best estimate</w:t>
      </w:r>
      <w:r w:rsidR="00684340">
        <w:t xml:space="preserve">, some 250 mg per day </w:t>
      </w:r>
      <w:r w:rsidRPr="003C744D">
        <w:t>[starting from 25 mg to a maximum of typically 400 mg though in some cases also larger quantities of up to 600 mg have been</w:t>
      </w:r>
      <w:r w:rsidR="00A16189">
        <w:t xml:space="preserve"> </w:t>
      </w:r>
      <w:r w:rsidR="008F7E97">
        <w:t xml:space="preserve">reportedly </w:t>
      </w:r>
      <w:r w:rsidRPr="003C744D">
        <w:t>prescribed</w:t>
      </w:r>
      <w:r w:rsidR="00F1688B" w:rsidRPr="003C744D">
        <w:t>)</w:t>
      </w:r>
      <w:r w:rsidRPr="003C744D">
        <w:t xml:space="preserve">; of course, </w:t>
      </w:r>
      <w:r w:rsidR="001A3DAA">
        <w:t>such estimates</w:t>
      </w:r>
      <w:r w:rsidR="00E43807">
        <w:t xml:space="preserve"> of S-DDDs</w:t>
      </w:r>
      <w:r w:rsidR="001A3DAA">
        <w:t xml:space="preserve"> may </w:t>
      </w:r>
      <w:r w:rsidRPr="003C744D">
        <w:t xml:space="preserve">change once better and more authorative data on the daily use of tramadol were to become available. </w:t>
      </w:r>
    </w:p>
    <w:p w:rsidR="00506355" w:rsidRDefault="003C744D" w:rsidP="00F16E68">
      <w:r w:rsidRPr="003C744D">
        <w:t xml:space="preserve">For the large group non-specified pharmaceuticals a ratio of 83 mg was assumed; this was the value of the unweighted average of all the opioids for which S-DDDs exist; the 95 per cent </w:t>
      </w:r>
      <w:r w:rsidRPr="003C744D">
        <w:lastRenderedPageBreak/>
        <w:t xml:space="preserve">confidence interval around these estimates suggests that the results could be some 36 per cent higher or lower than the average. </w:t>
      </w:r>
    </w:p>
    <w:p w:rsidR="004223EE" w:rsidRDefault="003C744D" w:rsidP="00F16E68">
      <w:r w:rsidRPr="003C744D">
        <w:t xml:space="preserve">Subsequently, purity reported from the geographical areas where most seizures take place, was also taken into account. </w:t>
      </w:r>
    </w:p>
    <w:p w:rsidR="004223EE" w:rsidRDefault="003C744D" w:rsidP="00F16E68">
      <w:r w:rsidRPr="003C744D">
        <w:t xml:space="preserve">Thus, information from the United States, where fentanyl seizures are </w:t>
      </w:r>
      <w:r w:rsidR="00506355" w:rsidRPr="003C744D">
        <w:t>concentrated</w:t>
      </w:r>
      <w:r w:rsidRPr="003C744D">
        <w:t xml:space="preserve">, shows that purity of fentanyl on the black market varies strongly though it averages at around 9 per cent. This ratio was taken for the purity adjustment of fentanyl seizures. </w:t>
      </w:r>
    </w:p>
    <w:p w:rsidR="004223EE" w:rsidRDefault="003C744D" w:rsidP="00F16E68">
      <w:r w:rsidRPr="003C744D">
        <w:t xml:space="preserve">Codeine is frequently seized in preparations such as cough syrups. Based on information obtained from South Asia, the content of codeine in such preparations varies though, on average, it seems to be equivalent to a codeine content of close to 20 per cent. This ratio was taken for the "purity adjustment" of codeine. </w:t>
      </w:r>
    </w:p>
    <w:p w:rsidR="003C744D" w:rsidRDefault="003C744D" w:rsidP="00F16E68">
      <w:r w:rsidRPr="003C744D">
        <w:t>For other pharmaceutical opioids, in contrast, no substantial dil</w:t>
      </w:r>
      <w:r w:rsidR="00A57C03">
        <w:t>u</w:t>
      </w:r>
      <w:r w:rsidRPr="003C744D">
        <w:t xml:space="preserve">tions have been reported so-far; thus no </w:t>
      </w:r>
      <w:r w:rsidR="00A57C03">
        <w:t xml:space="preserve">specific </w:t>
      </w:r>
      <w:r w:rsidRPr="003C744D">
        <w:t xml:space="preserve">purity adjustment for these products were made.    </w:t>
      </w:r>
    </w:p>
    <w:p w:rsidR="006509CD" w:rsidRPr="006509CD" w:rsidRDefault="006509CD" w:rsidP="004B6C86">
      <w:pPr>
        <w:rPr>
          <w:noProof/>
          <w:sz w:val="20"/>
          <w:szCs w:val="20"/>
          <w:lang w:val="en-US"/>
        </w:rPr>
      </w:pPr>
    </w:p>
    <w:p w:rsidR="00D358AE" w:rsidRPr="009E2C12" w:rsidRDefault="00D358AE" w:rsidP="009603EF">
      <w:pPr>
        <w:pStyle w:val="2"/>
      </w:pPr>
      <w:bookmarkStart w:id="174" w:name="_Toc517172929"/>
      <w:bookmarkStart w:id="175" w:name="_Toc517173023"/>
      <w:bookmarkStart w:id="176" w:name="_Toc108702232"/>
      <w:r w:rsidRPr="009E2C12">
        <w:t>Trafficking routes and volumes</w:t>
      </w:r>
      <w:bookmarkEnd w:id="174"/>
      <w:bookmarkEnd w:id="175"/>
      <w:bookmarkEnd w:id="176"/>
    </w:p>
    <w:p w:rsidR="00F52756" w:rsidRPr="0085745A" w:rsidRDefault="00D358AE" w:rsidP="00F16E68">
      <w:r w:rsidRPr="0092693B">
        <w:t xml:space="preserve">Information of trafficking routes was mainly obtained from analyses of </w:t>
      </w:r>
      <w:r w:rsidR="00D76C8A" w:rsidRPr="0092693B">
        <w:t xml:space="preserve">reports by Member States in the annual report questionnaire and in </w:t>
      </w:r>
      <w:r w:rsidRPr="0092693B">
        <w:t xml:space="preserve">individual drug seizures reported to UNODC, as well as analyses of trafficking routes reported by Member States. </w:t>
      </w:r>
    </w:p>
    <w:p w:rsidR="00E4267D" w:rsidRDefault="00F52756" w:rsidP="00796D35">
      <w:r w:rsidRPr="0085745A">
        <w:t xml:space="preserve">Individual drug seizures </w:t>
      </w:r>
      <w:r w:rsidR="001826C4">
        <w:t xml:space="preserve">(IDS) </w:t>
      </w:r>
      <w:r w:rsidRPr="0085745A">
        <w:t xml:space="preserve">would be the ideal data source </w:t>
      </w:r>
      <w:r w:rsidR="003E046D" w:rsidRPr="002E1D6F">
        <w:t xml:space="preserve">for any </w:t>
      </w:r>
      <w:r w:rsidRPr="002E1D6F">
        <w:t xml:space="preserve">in-depth analysis of drug flows. Unfortunately, reporting </w:t>
      </w:r>
      <w:r w:rsidR="003E046D" w:rsidRPr="0036585D">
        <w:t xml:space="preserve">of </w:t>
      </w:r>
      <w:r w:rsidRPr="0036585D">
        <w:t xml:space="preserve">individual drug seizure cases is very uneven. </w:t>
      </w:r>
      <w:r w:rsidR="001826C4">
        <w:t xml:space="preserve">The total number of countries submitting IDS increased from </w:t>
      </w:r>
      <w:r w:rsidR="00EF2BDA">
        <w:t>38</w:t>
      </w:r>
      <w:r w:rsidR="001826C4">
        <w:t xml:space="preserve"> for the </w:t>
      </w:r>
      <w:r w:rsidR="00083DE8">
        <w:t xml:space="preserve">year </w:t>
      </w:r>
      <w:r w:rsidR="001826C4">
        <w:t>2016 to</w:t>
      </w:r>
      <w:r w:rsidR="00581768">
        <w:t xml:space="preserve"> 69 by 2019</w:t>
      </w:r>
      <w:r w:rsidR="006362C0">
        <w:t xml:space="preserve">, though declining thereafter to 32 </w:t>
      </w:r>
      <w:r w:rsidR="00796D35">
        <w:t xml:space="preserve">countries </w:t>
      </w:r>
      <w:r w:rsidR="006362C0">
        <w:t>by</w:t>
      </w:r>
      <w:r w:rsidR="00796D35">
        <w:t xml:space="preserve"> 2022</w:t>
      </w:r>
      <w:r w:rsidR="0062576F">
        <w:t>, thus limiting data availability from official sources</w:t>
      </w:r>
      <w:r w:rsidR="00E57DDD">
        <w:t xml:space="preserve"> as foreseen in the international drug conventions</w:t>
      </w:r>
      <w:r w:rsidR="00796D35">
        <w:t xml:space="preserve">. </w:t>
      </w:r>
    </w:p>
    <w:p w:rsidR="0005229E" w:rsidRDefault="004B4ECA" w:rsidP="00F16E68">
      <w:r>
        <w:t xml:space="preserve">This decline, however, was more than compensated by </w:t>
      </w:r>
      <w:r w:rsidR="00E17F56">
        <w:t xml:space="preserve">active searches for such data </w:t>
      </w:r>
      <w:r w:rsidR="0072380D">
        <w:t xml:space="preserve">by UNODC </w:t>
      </w:r>
      <w:r w:rsidR="00E17F56">
        <w:t xml:space="preserve">on Government sites, </w:t>
      </w:r>
      <w:r w:rsidR="002B3478">
        <w:t xml:space="preserve">partner organisations and </w:t>
      </w:r>
      <w:r w:rsidR="00592F61">
        <w:t xml:space="preserve">the harvesting of such seizure </w:t>
      </w:r>
      <w:r w:rsidR="002B3478">
        <w:t xml:space="preserve">reports in the </w:t>
      </w:r>
      <w:r w:rsidR="002726A1">
        <w:t xml:space="preserve">mass </w:t>
      </w:r>
      <w:r w:rsidR="002B3478">
        <w:t xml:space="preserve">media. </w:t>
      </w:r>
      <w:r w:rsidR="00E17F56">
        <w:t xml:space="preserve"> </w:t>
      </w:r>
      <w:r w:rsidR="002726A1">
        <w:t>Thus, overall coverag</w:t>
      </w:r>
      <w:r w:rsidR="0005229E">
        <w:t>e,</w:t>
      </w:r>
      <w:r w:rsidR="00EA0C38">
        <w:t xml:space="preserve"> </w:t>
      </w:r>
      <w:r w:rsidR="00AD6EC6">
        <w:t xml:space="preserve">has </w:t>
      </w:r>
      <w:r w:rsidR="00592F61">
        <w:t xml:space="preserve">not declined but </w:t>
      </w:r>
      <w:r w:rsidR="00AD6EC6">
        <w:t xml:space="preserve">clearly improved in recent years. </w:t>
      </w:r>
      <w:r w:rsidR="000E38AD">
        <w:t xml:space="preserve">Overall individual drug seizures, </w:t>
      </w:r>
      <w:r w:rsidR="00F93765">
        <w:t xml:space="preserve">were </w:t>
      </w:r>
      <w:r w:rsidR="00A67F98">
        <w:t xml:space="preserve">thus </w:t>
      </w:r>
      <w:r w:rsidR="00BD523D">
        <w:t>collected from 116 countries</w:t>
      </w:r>
      <w:r w:rsidR="002E37F9">
        <w:t xml:space="preserve"> and </w:t>
      </w:r>
      <w:r w:rsidR="002E37F9">
        <w:lastRenderedPageBreak/>
        <w:t>territories</w:t>
      </w:r>
      <w:r w:rsidR="00BD523D">
        <w:t xml:space="preserve"> in 2016</w:t>
      </w:r>
      <w:r w:rsidR="00A67F98">
        <w:t xml:space="preserve"> and </w:t>
      </w:r>
      <w:r w:rsidR="00F93765">
        <w:t>this number</w:t>
      </w:r>
      <w:r w:rsidR="00BD523D">
        <w:t xml:space="preserve"> </w:t>
      </w:r>
      <w:r w:rsidR="000E38AD">
        <w:t xml:space="preserve">increased </w:t>
      </w:r>
      <w:r w:rsidR="00BD523D">
        <w:t xml:space="preserve">to </w:t>
      </w:r>
      <w:r w:rsidR="001E1066">
        <w:t xml:space="preserve">129 </w:t>
      </w:r>
      <w:r w:rsidR="00942A72">
        <w:t xml:space="preserve">countries and territories </w:t>
      </w:r>
      <w:r w:rsidR="001E1066">
        <w:t>by 2021, 155 by 2</w:t>
      </w:r>
      <w:r w:rsidR="009E47E7">
        <w:t xml:space="preserve">020, 157 by 2021 and 168 by </w:t>
      </w:r>
      <w:r w:rsidR="007D2508">
        <w:t xml:space="preserve">2022. </w:t>
      </w:r>
    </w:p>
    <w:p w:rsidR="001F7CC7" w:rsidRDefault="00AD6EC6" w:rsidP="00F16E68">
      <w:r>
        <w:t xml:space="preserve">In the case of cocaine, e.g. </w:t>
      </w:r>
      <w:r w:rsidR="008D50ED">
        <w:t xml:space="preserve">the weight of </w:t>
      </w:r>
      <w:r>
        <w:t>aggregate individual seizures</w:t>
      </w:r>
      <w:r w:rsidR="001E2949">
        <w:t xml:space="preserve"> reported </w:t>
      </w:r>
      <w:r w:rsidR="005A29C4">
        <w:t xml:space="preserve">through </w:t>
      </w:r>
      <w:r w:rsidR="00D7735A">
        <w:t xml:space="preserve">UNODC’s </w:t>
      </w:r>
      <w:r w:rsidR="001E2949">
        <w:t xml:space="preserve">Drugs Monitoring Platform, expressed as a proportion of </w:t>
      </w:r>
      <w:r w:rsidR="008F52CA">
        <w:t xml:space="preserve">the </w:t>
      </w:r>
      <w:r w:rsidR="001E2949">
        <w:t>total</w:t>
      </w:r>
      <w:r w:rsidR="008D50ED">
        <w:t xml:space="preserve"> weight of</w:t>
      </w:r>
      <w:r w:rsidR="001E2949">
        <w:t xml:space="preserve"> annual</w:t>
      </w:r>
      <w:r w:rsidR="008F52CA">
        <w:t xml:space="preserve">ly seized </w:t>
      </w:r>
      <w:r w:rsidR="001E2949">
        <w:t xml:space="preserve"> cocaine, as reported by Member States in the annual report questionnaire</w:t>
      </w:r>
      <w:r w:rsidR="008F52CA">
        <w:t>,</w:t>
      </w:r>
      <w:r w:rsidR="001E2949">
        <w:t xml:space="preserve">  </w:t>
      </w:r>
      <w:r w:rsidR="00B746F9">
        <w:t xml:space="preserve"> </w:t>
      </w:r>
      <w:r w:rsidR="00EB4197">
        <w:t xml:space="preserve">rose from </w:t>
      </w:r>
      <w:r w:rsidR="00C01527">
        <w:t xml:space="preserve">just </w:t>
      </w:r>
      <w:r w:rsidR="00EB4197">
        <w:t xml:space="preserve">16 per cent </w:t>
      </w:r>
      <w:r w:rsidR="00C01527">
        <w:t xml:space="preserve">of the total </w:t>
      </w:r>
      <w:r w:rsidR="00EB4197">
        <w:t xml:space="preserve">in 2010 </w:t>
      </w:r>
      <w:r w:rsidR="00987E76">
        <w:t xml:space="preserve">to 23 per cent </w:t>
      </w:r>
      <w:r w:rsidR="00B746F9">
        <w:t>by</w:t>
      </w:r>
      <w:r w:rsidR="00987E76">
        <w:t xml:space="preserve"> 2017 and to</w:t>
      </w:r>
      <w:r w:rsidR="005A29C4">
        <w:t xml:space="preserve">, on average, 44 per cent over the period 2020-2021. </w:t>
      </w:r>
      <w:r w:rsidR="001C43F5">
        <w:t xml:space="preserve">Seizure data collected through UNODC’s Drugs </w:t>
      </w:r>
      <w:r w:rsidR="00552D99">
        <w:t xml:space="preserve">Monitoring Platform </w:t>
      </w:r>
      <w:r w:rsidR="00AC3C2D">
        <w:t>has thus clearly gain</w:t>
      </w:r>
      <w:r w:rsidR="001E393F">
        <w:t>ed</w:t>
      </w:r>
      <w:r w:rsidR="00AC3C2D">
        <w:t xml:space="preserve"> in </w:t>
      </w:r>
      <w:r w:rsidR="00F05FDA">
        <w:t xml:space="preserve">importance </w:t>
      </w:r>
      <w:r w:rsidR="00AC3C2D">
        <w:t xml:space="preserve">in recent years. </w:t>
      </w:r>
      <w:r w:rsidR="00552D99">
        <w:t xml:space="preserve"> </w:t>
      </w:r>
      <w:r>
        <w:t xml:space="preserve"> </w:t>
      </w:r>
    </w:p>
    <w:p w:rsidR="00F01841" w:rsidRDefault="00F01841" w:rsidP="00F16E68">
      <w:r>
        <w:t xml:space="preserve">Aggregate individual cocaine seizures </w:t>
      </w:r>
      <w:r w:rsidR="00EB038A">
        <w:t>(DMP) and aggregate annual seizures of cocaine (ARQ)</w:t>
      </w:r>
      <w:r>
        <w:t xml:space="preserve"> </w:t>
      </w:r>
    </w:p>
    <w:p w:rsidR="00486A79" w:rsidRPr="004B6C86" w:rsidRDefault="00F01841" w:rsidP="00EC43C5">
      <w:pPr>
        <w:jc w:val="center"/>
        <w:rPr>
          <w:sz w:val="18"/>
          <w:szCs w:val="18"/>
        </w:rPr>
      </w:pPr>
      <w:r>
        <w:rPr>
          <w:noProof/>
          <w:lang w:val="en-US" w:eastAsia="zh-CN"/>
        </w:rPr>
        <w:drawing>
          <wp:inline distT="0" distB="0" distL="0" distR="0">
            <wp:extent cx="4572000" cy="2743200"/>
            <wp:effectExtent l="0" t="0" r="0" b="0"/>
            <wp:docPr id="14" name="Chart 1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BDC58B3-8396-E14E-00D9-5498C1DD6D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C43C5" w:rsidRPr="004B6C86" w:rsidRDefault="00EC43C5" w:rsidP="004B6C86">
      <w:pPr>
        <w:jc w:val="center"/>
        <w:rPr>
          <w:sz w:val="18"/>
          <w:szCs w:val="18"/>
        </w:rPr>
      </w:pPr>
      <w:r w:rsidRPr="004B6C86">
        <w:rPr>
          <w:sz w:val="18"/>
          <w:szCs w:val="18"/>
        </w:rPr>
        <w:t>Sources: UNODC, responses to the annual report questionnaire and UNODC, Drugs Monitoring Platform</w:t>
      </w:r>
    </w:p>
    <w:p w:rsidR="00486A79" w:rsidRDefault="00486A79" w:rsidP="00F16E68"/>
    <w:p w:rsidR="005E1553" w:rsidRDefault="00D711BD" w:rsidP="00F16E68">
      <w:r w:rsidRPr="0036585D">
        <w:t xml:space="preserve">Information for the maps </w:t>
      </w:r>
      <w:r w:rsidR="00EA0C38">
        <w:t xml:space="preserve">has been </w:t>
      </w:r>
      <w:r w:rsidRPr="0036585D">
        <w:t>– primarily – based on information contained in the annual report questionnaire</w:t>
      </w:r>
      <w:r w:rsidR="00AD3724">
        <w:t>, while individual drug seizures reports and official national documents were used to fill gaps</w:t>
      </w:r>
      <w:r w:rsidRPr="0036585D">
        <w:t xml:space="preserve">. </w:t>
      </w:r>
    </w:p>
    <w:p w:rsidR="009F6612" w:rsidRDefault="005E1553" w:rsidP="00F16E68">
      <w:r>
        <w:t>Some of the maps</w:t>
      </w:r>
      <w:r w:rsidR="00334DC1">
        <w:t xml:space="preserve">, however, </w:t>
      </w:r>
      <w:r>
        <w:t xml:space="preserve"> </w:t>
      </w:r>
      <w:r w:rsidR="00E25989">
        <w:t xml:space="preserve">have been </w:t>
      </w:r>
      <w:r>
        <w:t>based on UNODC’s Drugs Monitoring Platform</w:t>
      </w:r>
      <w:r w:rsidR="00334DC1">
        <w:t xml:space="preserve">. </w:t>
      </w:r>
      <w:r w:rsidR="00072761" w:rsidRPr="009603EF">
        <w:t xml:space="preserve">The number of </w:t>
      </w:r>
      <w:r w:rsidR="00251EEE">
        <w:t xml:space="preserve">collected </w:t>
      </w:r>
      <w:r w:rsidR="00072761" w:rsidRPr="009603EF">
        <w:t>individual drug seizure</w:t>
      </w:r>
      <w:r w:rsidR="001E2409">
        <w:t>s</w:t>
      </w:r>
      <w:r w:rsidR="00072761" w:rsidRPr="009603EF">
        <w:t xml:space="preserve"> increased from</w:t>
      </w:r>
      <w:r w:rsidR="009F6612">
        <w:t xml:space="preserve"> less than </w:t>
      </w:r>
      <w:r w:rsidR="00FD465D">
        <w:t>1</w:t>
      </w:r>
      <w:r w:rsidR="009F6612">
        <w:t xml:space="preserve">0,000 </w:t>
      </w:r>
      <w:r w:rsidR="001E2409">
        <w:t xml:space="preserve">cases </w:t>
      </w:r>
      <w:r w:rsidR="009F6612">
        <w:t>in 2010</w:t>
      </w:r>
      <w:r w:rsidR="00251EEE">
        <w:t xml:space="preserve"> to</w:t>
      </w:r>
      <w:r w:rsidR="001E2409">
        <w:t xml:space="preserve"> </w:t>
      </w:r>
      <w:r w:rsidR="001E2409">
        <w:lastRenderedPageBreak/>
        <w:t>some 20,000 cases in 2018</w:t>
      </w:r>
      <w:r w:rsidR="00D50AB7">
        <w:t>, 29,000 in 2019</w:t>
      </w:r>
      <w:r w:rsidR="0082180D">
        <w:t xml:space="preserve"> and</w:t>
      </w:r>
      <w:r w:rsidR="00D50AB7">
        <w:t xml:space="preserve">, on average, some 33,000 cases </w:t>
      </w:r>
      <w:r w:rsidR="00E038B3">
        <w:t xml:space="preserve">per year over the period 2020-2022. </w:t>
      </w:r>
      <w:r w:rsidR="0082180D">
        <w:t xml:space="preserve"> </w:t>
      </w:r>
      <w:r w:rsidR="001E2409">
        <w:t xml:space="preserve"> </w:t>
      </w:r>
      <w:r w:rsidR="00251EEE">
        <w:t xml:space="preserve">  </w:t>
      </w:r>
      <w:r w:rsidR="009F6612">
        <w:t xml:space="preserve"> </w:t>
      </w:r>
    </w:p>
    <w:p w:rsidR="0079440F" w:rsidRDefault="00072761" w:rsidP="00F16E68">
      <w:r w:rsidRPr="009603EF">
        <w:t>,</w:t>
      </w:r>
      <w:r>
        <w:t xml:space="preserve"> Nonetheless, </w:t>
      </w:r>
      <w:r w:rsidR="008822E3">
        <w:t xml:space="preserve">the latter </w:t>
      </w:r>
      <w:r>
        <w:t xml:space="preserve">numbers remain </w:t>
      </w:r>
      <w:r w:rsidR="0079440F">
        <w:t xml:space="preserve">still </w:t>
      </w:r>
      <w:r>
        <w:t xml:space="preserve">small compared to the overall number of annual seizure cases reported by Member States </w:t>
      </w:r>
      <w:r w:rsidR="008822E3">
        <w:t xml:space="preserve">to UNODC in the annual report questionnaire, amounting, on average, to around </w:t>
      </w:r>
      <w:r w:rsidR="0079440F">
        <w:t xml:space="preserve">2 </w:t>
      </w:r>
      <w:r w:rsidR="008822E3">
        <w:t xml:space="preserve"> million drug seizure cases per year over the period </w:t>
      </w:r>
      <w:r w:rsidR="00724507">
        <w:t xml:space="preserve">2020-2022. </w:t>
      </w:r>
    </w:p>
    <w:p w:rsidR="008822E3" w:rsidRDefault="008822E3" w:rsidP="00F16E68">
      <w:r>
        <w:t xml:space="preserve">  </w:t>
      </w:r>
    </w:p>
    <w:p w:rsidR="00072761" w:rsidRDefault="008822E3" w:rsidP="00F16E68">
      <w:r>
        <w:t xml:space="preserve"> </w:t>
      </w:r>
      <w:r w:rsidR="00072761">
        <w:t xml:space="preserve"> </w:t>
      </w:r>
    </w:p>
    <w:p w:rsidR="00AD3724" w:rsidRPr="006C7D5A" w:rsidRDefault="005E1553" w:rsidP="009603EF">
      <w:pPr>
        <w:pStyle w:val="3"/>
      </w:pPr>
      <w:r>
        <w:t xml:space="preserve"> </w:t>
      </w:r>
      <w:bookmarkStart w:id="177" w:name="_Toc108702233"/>
      <w:r w:rsidR="00B73B15" w:rsidRPr="00742CFD">
        <w:t>Main trafficking routes as described by re</w:t>
      </w:r>
      <w:r w:rsidR="00B73B15" w:rsidRPr="00AA7203">
        <w:t>ported sei</w:t>
      </w:r>
      <w:r w:rsidR="00B73B15" w:rsidRPr="00650439">
        <w:t>zures</w:t>
      </w:r>
      <w:bookmarkEnd w:id="177"/>
    </w:p>
    <w:p w:rsidR="00E45FD7" w:rsidRDefault="000E2494" w:rsidP="009603EF">
      <w:r>
        <w:t>S</w:t>
      </w:r>
      <w:r w:rsidR="00D711BD" w:rsidRPr="0036585D">
        <w:t xml:space="preserve">eizures made in the various regions over the </w:t>
      </w:r>
      <w:r w:rsidR="009C209C">
        <w:t xml:space="preserve">2018-2021 </w:t>
      </w:r>
      <w:r w:rsidR="00D711BD" w:rsidRPr="0036585D">
        <w:t xml:space="preserve"> period were used as a proxy for the importance of</w:t>
      </w:r>
      <w:r w:rsidR="000F6A7E" w:rsidRPr="0036585D">
        <w:t xml:space="preserve"> drug</w:t>
      </w:r>
      <w:r w:rsidR="00D711BD" w:rsidRPr="0036585D">
        <w:t xml:space="preserve"> trafficking activities. </w:t>
      </w:r>
      <w:r w:rsidR="00E45FD7">
        <w:t>S</w:t>
      </w:r>
      <w:r w:rsidR="00D711BD" w:rsidRPr="0036585D">
        <w:t xml:space="preserve">uch seizures were distributed according to the countries of departure and transit mentioned by countries in the various regions for the period </w:t>
      </w:r>
      <w:r w:rsidR="00ED4F4F">
        <w:t xml:space="preserve">2018-2021 </w:t>
      </w:r>
      <w:r w:rsidR="00D711BD" w:rsidRPr="0036585D">
        <w:t>(outside of the regions analysed)</w:t>
      </w:r>
      <w:r w:rsidR="006C32BA">
        <w:t>, as weighted by the total reported seizures</w:t>
      </w:r>
      <w:r w:rsidR="00EB6B99">
        <w:t xml:space="preserve"> at the national level</w:t>
      </w:r>
      <w:r w:rsidR="00D711BD" w:rsidRPr="0036585D">
        <w:t xml:space="preserve">. This served as a basis for the calculation of </w:t>
      </w:r>
      <w:r w:rsidR="000F6A7E" w:rsidRPr="0036585D">
        <w:t>(</w:t>
      </w:r>
      <w:r w:rsidR="00D711BD" w:rsidRPr="0036585D">
        <w:t>likely</w:t>
      </w:r>
      <w:r w:rsidR="000F6A7E" w:rsidRPr="0036585D">
        <w:t>) importance of the various</w:t>
      </w:r>
      <w:r w:rsidR="00D711BD" w:rsidRPr="0036585D">
        <w:t xml:space="preserve"> trafficking flows</w:t>
      </w:r>
      <w:r w:rsidR="00E45FD7">
        <w:t xml:space="preserve">, taking into account that </w:t>
      </w:r>
      <w:r w:rsidR="006C32BA">
        <w:t>drugs could be seized at different stages along the trafficking route</w:t>
      </w:r>
      <w:r w:rsidR="00EB6B99">
        <w:t xml:space="preserve"> and drugs may need to travel across several sub-regions to reach the seizing country</w:t>
      </w:r>
      <w:r w:rsidR="00D711BD" w:rsidRPr="0036585D">
        <w:t xml:space="preserve">. </w:t>
      </w:r>
    </w:p>
    <w:p w:rsidR="00D711BD" w:rsidRDefault="00E45FD7" w:rsidP="00742CFD">
      <w:r>
        <w:t xml:space="preserve">A similar approach was implemented using the countries of </w:t>
      </w:r>
      <w:r w:rsidR="00EB6B99">
        <w:t xml:space="preserve">intended </w:t>
      </w:r>
      <w:r>
        <w:t>destination reported by the seizing Member States.</w:t>
      </w:r>
      <w:r w:rsidRPr="0036585D">
        <w:t xml:space="preserve"> </w:t>
      </w:r>
      <w:r w:rsidR="006C32BA">
        <w:t xml:space="preserve">Afterwards, the flows obtained from using reported departure/transit and destination information separately were put together to estimate the final </w:t>
      </w:r>
      <w:r w:rsidR="00EB6B99">
        <w:t xml:space="preserve">relative </w:t>
      </w:r>
      <w:r w:rsidR="006C32BA">
        <w:t xml:space="preserve">size of the flow. This procedure was implemented at the sub-regional level to </w:t>
      </w:r>
      <w:r w:rsidR="00EB6B99">
        <w:t xml:space="preserve">produce </w:t>
      </w:r>
      <w:r w:rsidR="00190B4A">
        <w:t>a matrix of flows across sub-regions</w:t>
      </w:r>
      <w:r w:rsidR="006C32BA">
        <w:t>. Afterwards, the main countries of departure or transit (and destination) were identified based on the weighted amounts that were seized while being trafficked from (to) them, according to reported seizures</w:t>
      </w:r>
      <w:r w:rsidR="00B06F75">
        <w:t xml:space="preserve"> by Member States</w:t>
      </w:r>
      <w:r w:rsidR="006C32BA">
        <w:t>.</w:t>
      </w:r>
      <w:r w:rsidR="000F6A7E" w:rsidRPr="0036585D">
        <w:t xml:space="preserve"> </w:t>
      </w:r>
      <w:r w:rsidR="00D711BD" w:rsidRPr="0036585D">
        <w:t xml:space="preserve">  </w:t>
      </w:r>
    </w:p>
    <w:p w:rsidR="00D358AE" w:rsidRPr="009E2C12" w:rsidRDefault="00D358AE" w:rsidP="009603EF">
      <w:pPr>
        <w:pStyle w:val="2"/>
      </w:pPr>
      <w:bookmarkStart w:id="178" w:name="_Toc517172930"/>
      <w:bookmarkStart w:id="179" w:name="_Toc517173024"/>
      <w:bookmarkStart w:id="180" w:name="_Toc108702234"/>
      <w:r w:rsidRPr="009E2C12">
        <w:t>Drug price and purity data</w:t>
      </w:r>
      <w:bookmarkEnd w:id="178"/>
      <w:bookmarkEnd w:id="179"/>
      <w:bookmarkEnd w:id="180"/>
    </w:p>
    <w:p w:rsidR="00D358AE" w:rsidRPr="002E1D6F" w:rsidRDefault="00D358AE" w:rsidP="00F16E68">
      <w:r w:rsidRPr="0092693B">
        <w:t xml:space="preserve">Price and purity data, if properly collected and reported, can be powerful indicators of market trends. Trends in supply can change over a shorter period of time when compared with </w:t>
      </w:r>
      <w:r w:rsidRPr="0092693B">
        <w:lastRenderedPageBreak/>
        <w:t xml:space="preserve">changes in demand and shifts in prices and purities are </w:t>
      </w:r>
      <w:r w:rsidR="00D400BA" w:rsidRPr="0092693B">
        <w:t xml:space="preserve">relatively </w:t>
      </w:r>
      <w:r w:rsidRPr="0092693B">
        <w:t xml:space="preserve">good indicators for increases or declines of market supply. Research has shown that short-term changes in the consumer markets are first reflected in purity changes while </w:t>
      </w:r>
      <w:r w:rsidRPr="0085745A">
        <w:t xml:space="preserve">prices tend to be rather stable over longer periods of time. UNODC collects its price data from the ARQ, and supplements this data with other sources such as DAINAP, EMCDDA and Government reports. Prices are collected at farm-gate level, wholesale level (‘kilogram prices’) and at retail level (‘gram prices’). Countries are asked to provide minimum, maximum and typical prices and purities. When countries do not provide typical prices/purities, for the purposes of certain estimates, the mid-point of these estimates is calculated as a proxy for the ‘typical’ prices/purities (unless scientific studies are available which provide better estimates). What is generally not known is how </w:t>
      </w:r>
      <w:r w:rsidR="000E2494">
        <w:t xml:space="preserve">price </w:t>
      </w:r>
      <w:r w:rsidRPr="0085745A">
        <w:t xml:space="preserve">data </w:t>
      </w:r>
      <w:r w:rsidR="000E2494">
        <w:t xml:space="preserve">and purity data </w:t>
      </w:r>
      <w:r w:rsidRPr="0085745A">
        <w:t>were collected and how reli</w:t>
      </w:r>
      <w:r w:rsidRPr="002E1D6F">
        <w:t xml:space="preserve">able </w:t>
      </w:r>
      <w:r w:rsidR="000E2494">
        <w:t xml:space="preserve">the provided data are. </w:t>
      </w:r>
      <w:r w:rsidRPr="002E1D6F">
        <w:t xml:space="preserve">Although improvements have been made in some countries over the years, a number of law enforcement bodies have </w:t>
      </w:r>
      <w:r w:rsidR="000E2494">
        <w:t xml:space="preserve">still </w:t>
      </w:r>
      <w:r w:rsidRPr="002E1D6F">
        <w:t xml:space="preserve">not established a regular system for </w:t>
      </w:r>
      <w:r w:rsidR="000E2494">
        <w:t xml:space="preserve">systematically </w:t>
      </w:r>
      <w:r w:rsidRPr="002E1D6F">
        <w:t xml:space="preserve">collecting purity and price data. </w:t>
      </w:r>
    </w:p>
    <w:p w:rsidR="008B156E" w:rsidRPr="0036585D" w:rsidRDefault="008B156E" w:rsidP="00F16E68">
      <w:r w:rsidRPr="002E1D6F">
        <w:t xml:space="preserve">Prices are collected in local currency </w:t>
      </w:r>
      <w:r w:rsidR="00D76C8A" w:rsidRPr="0036585D">
        <w:t xml:space="preserve">or in the currency in which the transactions take place and are then </w:t>
      </w:r>
      <w:r w:rsidRPr="0036585D">
        <w:t xml:space="preserve">converted </w:t>
      </w:r>
      <w:r w:rsidR="00D76C8A" w:rsidRPr="0036585D">
        <w:t xml:space="preserve">by UNODC </w:t>
      </w:r>
      <w:r w:rsidRPr="0036585D">
        <w:t>into US dollars for the purposes of comparability among countries. The conversion into US dollars is based on official UN rates</w:t>
      </w:r>
      <w:r w:rsidR="004C3678" w:rsidRPr="0036585D">
        <w:t xml:space="preserve"> of exchange for the year</w:t>
      </w:r>
      <w:r w:rsidRPr="0036585D">
        <w:t xml:space="preserve">. </w:t>
      </w:r>
      <w:r w:rsidR="00D76C8A" w:rsidRPr="0036585D">
        <w:t xml:space="preserve">If </w:t>
      </w:r>
      <w:r w:rsidRPr="0036585D">
        <w:t>comparisons of prices</w:t>
      </w:r>
      <w:r w:rsidR="00964430" w:rsidRPr="0036585D">
        <w:t xml:space="preserve">, expressed in US dollars are made </w:t>
      </w:r>
      <w:r w:rsidR="00D76C8A" w:rsidRPr="0036585D">
        <w:t xml:space="preserve">over </w:t>
      </w:r>
      <w:r w:rsidRPr="0036585D">
        <w:t xml:space="preserve">different years </w:t>
      </w:r>
      <w:r w:rsidR="00D76C8A" w:rsidRPr="0036585D">
        <w:t xml:space="preserve">it should be noted that changes in such prices may be also </w:t>
      </w:r>
      <w:r w:rsidRPr="0036585D">
        <w:t>influenced by changes in the exchange rates and may not necessarily reflect changes in the local markets.</w:t>
      </w:r>
    </w:p>
    <w:p w:rsidR="00E26568" w:rsidRPr="009603EF" w:rsidRDefault="00E26568" w:rsidP="009603EF">
      <w:pPr>
        <w:pStyle w:val="3"/>
      </w:pPr>
      <w:bookmarkStart w:id="181" w:name="_Toc108702235"/>
      <w:r w:rsidRPr="00742CFD">
        <w:t>Sta</w:t>
      </w:r>
      <w:r w:rsidRPr="00AA7203">
        <w:t>ndardized prices of cocain</w:t>
      </w:r>
      <w:r w:rsidRPr="00650439">
        <w:t>e an</w:t>
      </w:r>
      <w:r w:rsidRPr="006C7D5A">
        <w:t>d heroin in the United States</w:t>
      </w:r>
      <w:r w:rsidRPr="009603EF">
        <w:t xml:space="preserve"> and Western Europe</w:t>
      </w:r>
      <w:bookmarkEnd w:id="181"/>
    </w:p>
    <w:p w:rsidR="00DD56AB" w:rsidRDefault="000E2494" w:rsidP="00742CFD">
      <w:r>
        <w:t>T</w:t>
      </w:r>
      <w:r w:rsidR="0000351C" w:rsidRPr="0092693B">
        <w:t xml:space="preserve">he </w:t>
      </w:r>
      <w:r>
        <w:t xml:space="preserve">price and purity data used for the various </w:t>
      </w:r>
      <w:r w:rsidR="0000351C" w:rsidRPr="0092693B">
        <w:t xml:space="preserve">figures </w:t>
      </w:r>
      <w:r>
        <w:t xml:space="preserve">found in the report are </w:t>
      </w:r>
      <w:r w:rsidR="00E26568" w:rsidRPr="0092693B">
        <w:t xml:space="preserve">available </w:t>
      </w:r>
      <w:r>
        <w:t>under</w:t>
      </w:r>
      <w:r w:rsidR="00DD56AB">
        <w:t xml:space="preserve"> 8. Prices and purities of illicit Drugs (Tables) in the statical annex</w:t>
      </w:r>
      <w:r w:rsidR="00742CFD">
        <w:t xml:space="preserve"> </w:t>
      </w:r>
      <w:hyperlink r:id="rId38" w:history="1">
        <w:r w:rsidR="00742CFD" w:rsidRPr="00742CFD">
          <w:rPr>
            <w:rStyle w:val="a9"/>
          </w:rPr>
          <w:t xml:space="preserve">World Drug Report </w:t>
        </w:r>
        <w:r w:rsidR="00CF7BBD">
          <w:rPr>
            <w:rStyle w:val="a9"/>
          </w:rPr>
          <w:t xml:space="preserve">2023 </w:t>
        </w:r>
        <w:r w:rsidR="00742CFD" w:rsidRPr="00742CFD">
          <w:rPr>
            <w:rStyle w:val="a9"/>
          </w:rPr>
          <w:t>Annex (unodc.org)</w:t>
        </w:r>
      </w:hyperlink>
      <w:r w:rsidR="00DD56AB">
        <w:t xml:space="preserve"> </w:t>
      </w:r>
    </w:p>
    <w:p w:rsidR="007D3B9C" w:rsidRPr="0036585D" w:rsidRDefault="00DD56AB" w:rsidP="00F16E68">
      <w:r>
        <w:t xml:space="preserve">For the time series data for heroin and cocaine of Western Europe and the United States, the following methodology was used: </w:t>
      </w:r>
      <w:r w:rsidR="00A9004E" w:rsidRPr="002E1D6F">
        <w:t>For the case of heroin and cocaine prices in the 17 European countries in this Table</w:t>
      </w:r>
      <w:r w:rsidR="00A9004E" w:rsidRPr="0036585D">
        <w:t xml:space="preserve">, the published prices correspond an average of the available prices for the specific year (e.g., “crack” and cocaine salts, or white and brown heroin), </w:t>
      </w:r>
      <w:r w:rsidR="007D3B9C" w:rsidRPr="0036585D">
        <w:t xml:space="preserve">if </w:t>
      </w:r>
      <w:r w:rsidR="007D3B9C" w:rsidRPr="0036585D">
        <w:lastRenderedPageBreak/>
        <w:t>more than one type of drug i</w:t>
      </w:r>
      <w:r w:rsidR="00A9004E" w:rsidRPr="0036585D">
        <w:t xml:space="preserve">s reported, or the typical value </w:t>
      </w:r>
      <w:r w:rsidR="007D3B9C" w:rsidRPr="0036585D">
        <w:t>if only one price i</w:t>
      </w:r>
      <w:r w:rsidR="00A9004E" w:rsidRPr="0036585D">
        <w:t>s reported by the country.</w:t>
      </w:r>
      <w:r w:rsidR="007D3B9C" w:rsidRPr="0036585D">
        <w:t xml:space="preserve"> In order to properly calculate the weighted averages across the 17 European Member States, in those countries for which no data is available, a “best estimate” is reported. This “best estimate” is based on: a) the latest reported value, b) an interpolation between two reported values, or c) the midpoint between the reported low and high observed prices (when a typical value is not available).</w:t>
      </w:r>
    </w:p>
    <w:p w:rsidR="00A9004E" w:rsidRPr="0036585D" w:rsidRDefault="007D3B9C" w:rsidP="00F16E68">
      <w:r w:rsidRPr="0036585D">
        <w:t>In order to properly reflect the prices faced by the population within these 17 countries, the average prices are weighted by the population</w:t>
      </w:r>
      <w:r w:rsidR="00241C01">
        <w:t xml:space="preserve"> 15-64 years old</w:t>
      </w:r>
      <w:r w:rsidRPr="0036585D">
        <w:t>. A reported average price per gram in Euro is also published based on the average exchange rates for the corresponding year, and the reported units (gram for retail, kilogram for wholesale). Finally, the inflation-adjusted weighted average is expressed in</w:t>
      </w:r>
      <w:r w:rsidR="006F07A5">
        <w:t xml:space="preserve"> 2021 </w:t>
      </w:r>
      <w:r w:rsidR="00D237AE">
        <w:t xml:space="preserve"> </w:t>
      </w:r>
      <w:r w:rsidR="00DD56AB">
        <w:t xml:space="preserve"> </w:t>
      </w:r>
      <w:r w:rsidRPr="0036585D">
        <w:t>Euro</w:t>
      </w:r>
      <w:r w:rsidR="00DD56AB">
        <w:t>s</w:t>
      </w:r>
      <w:r w:rsidRPr="0036585D">
        <w:t xml:space="preserve">, by deflating the prices using the Consumer Price Index (CPI) published by Eurostat. </w:t>
      </w:r>
    </w:p>
    <w:p w:rsidR="00D77170" w:rsidRPr="0036585D" w:rsidRDefault="00D77170" w:rsidP="00F16E68">
      <w:r w:rsidRPr="0036585D">
        <w:t xml:space="preserve">For the case of heroin and cocaine average prices at the retail level in the United States of America, </w:t>
      </w:r>
      <w:r w:rsidR="00C84C2E">
        <w:t xml:space="preserve">both series were reviewed </w:t>
      </w:r>
      <w:r w:rsidR="00241C01">
        <w:t>in 2021</w:t>
      </w:r>
      <w:r w:rsidR="00C84C2E">
        <w:t xml:space="preserve"> </w:t>
      </w:r>
      <w:r w:rsidR="00742CFD">
        <w:t>as the revised</w:t>
      </w:r>
      <w:r w:rsidR="00C84C2E">
        <w:t xml:space="preserve"> data</w:t>
      </w:r>
      <w:r w:rsidR="00241C01">
        <w:t xml:space="preserve"> up to 2018</w:t>
      </w:r>
      <w:r w:rsidR="00742CFD">
        <w:t xml:space="preserve"> was made available</w:t>
      </w:r>
      <w:r w:rsidR="00C84C2E">
        <w:t xml:space="preserve">. Authorities from the United States of America provided UNODC with newly available quarterly data on the price </w:t>
      </w:r>
      <w:r w:rsidR="006F77B0">
        <w:t xml:space="preserve">and purity </w:t>
      </w:r>
      <w:r w:rsidR="00C84C2E">
        <w:t>of cocaine and heroin at the retail level for the 2005-201</w:t>
      </w:r>
      <w:r w:rsidR="000F2657">
        <w:t>8</w:t>
      </w:r>
      <w:r w:rsidR="00C84C2E">
        <w:t xml:space="preserve"> period. The average quarterly price for each of these years </w:t>
      </w:r>
      <w:r w:rsidR="00017BB5">
        <w:t xml:space="preserve">is reported. </w:t>
      </w:r>
      <w:r w:rsidR="004B68AE">
        <w:t xml:space="preserve">For the year 2019, </w:t>
      </w:r>
      <w:r w:rsidR="00BE4374">
        <w:t xml:space="preserve">cocaine price </w:t>
      </w:r>
      <w:r w:rsidR="004B68AE">
        <w:t>data reported in reply to UNODC’s annual report questionnaire were used</w:t>
      </w:r>
      <w:r w:rsidR="00BE4374">
        <w:t xml:space="preserve"> while </w:t>
      </w:r>
      <w:r w:rsidR="00BF6C07">
        <w:t xml:space="preserve">same typical price for heroin in 2019 as in 2018 was used as reported </w:t>
      </w:r>
      <w:r w:rsidR="00BE4374">
        <w:t>price ranges</w:t>
      </w:r>
      <w:r w:rsidR="00BF6C07">
        <w:t xml:space="preserve"> for heroin did not change between the two years. </w:t>
      </w:r>
      <w:r w:rsidR="00241C01">
        <w:t xml:space="preserve">Since no data on prices was available for 2020 in the United States, the same values used for 2019 were used as reference for this year. </w:t>
      </w:r>
      <w:r w:rsidR="00017BB5">
        <w:t xml:space="preserve">In the case of years </w:t>
      </w:r>
      <w:r w:rsidR="001411DA">
        <w:t>prior to</w:t>
      </w:r>
      <w:r w:rsidR="00017BB5">
        <w:t xml:space="preserve"> 2005, the yearly trends from the previously published series </w:t>
      </w:r>
      <w:r w:rsidR="006F77B0">
        <w:t>a</w:t>
      </w:r>
      <w:r w:rsidR="00017BB5">
        <w:t>re used to retropolate the price available for 2005. These trends</w:t>
      </w:r>
      <w:r w:rsidR="00C84C2E">
        <w:t xml:space="preserve"> </w:t>
      </w:r>
      <w:r w:rsidRPr="0036585D">
        <w:t xml:space="preserve">are based on ARQ data and data from ONDCP, </w:t>
      </w:r>
      <w:r w:rsidRPr="0036585D">
        <w:rPr>
          <w:i/>
          <w:iCs/>
        </w:rPr>
        <w:t>2015 National Drug Control Strategy - 2015 Data Supplement</w:t>
      </w:r>
      <w:r w:rsidRPr="0092693B">
        <w:t xml:space="preserve">. </w:t>
      </w:r>
    </w:p>
    <w:p w:rsidR="001B0FBD" w:rsidRPr="0092693B" w:rsidRDefault="001B0FBD" w:rsidP="00F16E68">
      <w:r w:rsidRPr="0036585D">
        <w:t xml:space="preserve">In the calculation of purity adjusted </w:t>
      </w:r>
      <w:r w:rsidRPr="00F16E68">
        <w:t xml:space="preserve">average heroin prices, </w:t>
      </w:r>
      <w:r w:rsidR="0042570C" w:rsidRPr="00F16E68">
        <w:t>the purity provided by national authorities at the quarterly level are used for 2005-201</w:t>
      </w:r>
      <w:r w:rsidR="000F2657" w:rsidRPr="00F16E68">
        <w:t>8</w:t>
      </w:r>
      <w:r w:rsidRPr="0036585D">
        <w:t xml:space="preserve">, while data </w:t>
      </w:r>
      <w:r w:rsidR="00E26568" w:rsidRPr="0036585D">
        <w:t xml:space="preserve">available through the ARQ or </w:t>
      </w:r>
      <w:r w:rsidRPr="0036585D">
        <w:t xml:space="preserve">published in ONDCP, </w:t>
      </w:r>
      <w:r w:rsidRPr="0036585D">
        <w:rPr>
          <w:i/>
          <w:iCs/>
        </w:rPr>
        <w:t xml:space="preserve">2015 National Drug Control Strategy - 2015 Data Supplement </w:t>
      </w:r>
      <w:r w:rsidR="00E26568" w:rsidRPr="0036585D">
        <w:t>are</w:t>
      </w:r>
      <w:r w:rsidRPr="0036585D">
        <w:t xml:space="preserve"> used for previous years. In the calculation of purity adjusted cocaine prices, data from ONDCP is also used up to the year </w:t>
      </w:r>
      <w:r w:rsidR="0042570C" w:rsidRPr="0036585D">
        <w:t>20</w:t>
      </w:r>
      <w:r w:rsidR="0042570C">
        <w:t>04</w:t>
      </w:r>
      <w:r w:rsidRPr="0092693B">
        <w:t>.</w:t>
      </w:r>
      <w:r w:rsidR="001A43C9">
        <w:t xml:space="preserve"> No data are available from 2019 onwards. </w:t>
      </w:r>
    </w:p>
    <w:p w:rsidR="001B0FBD" w:rsidRPr="0085745A" w:rsidRDefault="001B0FBD" w:rsidP="00F16E68">
      <w:r w:rsidRPr="0092693B">
        <w:lastRenderedPageBreak/>
        <w:t>Inflation adjusted prices in the United States were deflated using the CPI, published by the Bureau of Labor Statistics.</w:t>
      </w:r>
      <w:r w:rsidR="00BF6C07">
        <w:t xml:space="preserve"> For </w:t>
      </w:r>
      <w:r w:rsidR="00F74287">
        <w:t xml:space="preserve">inflation adjusted </w:t>
      </w:r>
      <w:r w:rsidR="00BF6C07">
        <w:t xml:space="preserve">average drug prices in Western Europe drug prices were deflated using the Harmonised Indices of Consumer Prices (HICP) published by Eurostat for the Euro area.  </w:t>
      </w:r>
    </w:p>
    <w:p w:rsidR="008331C1" w:rsidRDefault="008331C1" w:rsidP="00F16E68"/>
    <w:p w:rsidR="00D237AE" w:rsidRDefault="00D237AE" w:rsidP="00F16E68"/>
    <w:p w:rsidR="00D237AE" w:rsidRPr="009603EF" w:rsidRDefault="00D237AE" w:rsidP="009603EF">
      <w:pPr>
        <w:pStyle w:val="2"/>
        <w:rPr>
          <w:sz w:val="36"/>
          <w:szCs w:val="36"/>
        </w:rPr>
      </w:pPr>
      <w:bookmarkStart w:id="182" w:name="_Toc108702236"/>
      <w:r w:rsidRPr="009603EF">
        <w:rPr>
          <w:sz w:val="36"/>
          <w:szCs w:val="36"/>
        </w:rPr>
        <w:t xml:space="preserve">Trafficking of drugs </w:t>
      </w:r>
      <w:r w:rsidR="00AA7203">
        <w:rPr>
          <w:sz w:val="36"/>
          <w:szCs w:val="36"/>
        </w:rPr>
        <w:t>on</w:t>
      </w:r>
      <w:r w:rsidRPr="009603EF">
        <w:rPr>
          <w:sz w:val="36"/>
          <w:szCs w:val="36"/>
        </w:rPr>
        <w:t xml:space="preserve"> the dark</w:t>
      </w:r>
      <w:r w:rsidR="00AA7203">
        <w:rPr>
          <w:sz w:val="36"/>
          <w:szCs w:val="36"/>
        </w:rPr>
        <w:t>-</w:t>
      </w:r>
      <w:r w:rsidRPr="009603EF">
        <w:rPr>
          <w:sz w:val="36"/>
          <w:szCs w:val="36"/>
        </w:rPr>
        <w:t>web</w:t>
      </w:r>
      <w:bookmarkEnd w:id="182"/>
      <w:r w:rsidRPr="009603EF">
        <w:rPr>
          <w:sz w:val="36"/>
          <w:szCs w:val="36"/>
        </w:rPr>
        <w:t xml:space="preserve"> </w:t>
      </w:r>
    </w:p>
    <w:p w:rsidR="00E113B0" w:rsidRDefault="00E113B0" w:rsidP="00F16E68">
      <w:r>
        <w:t xml:space="preserve">Over the last few years, UNODC has also regularly analyzed – based on available information – changes and patterns of drug trafficking via the darkweb. </w:t>
      </w:r>
    </w:p>
    <w:p w:rsidR="00BC358B" w:rsidRPr="00E113B0" w:rsidRDefault="00BC358B" w:rsidP="00D50F25">
      <w:r w:rsidRPr="009603EF">
        <w:t xml:space="preserve">The UNODC analysis of sales on darknet markets has been based on (i) original data from Hikari Labs which uses web-crawling techniques to identify and collect data from darknet markets, “scraping” relevant information from such sites, </w:t>
      </w:r>
      <w:r w:rsidR="009668DB">
        <w:t>(ii) data collected by Chainanalysis</w:t>
      </w:r>
      <w:r w:rsidR="005C3A72">
        <w:t xml:space="preserve">, analysing </w:t>
      </w:r>
      <w:r w:rsidR="00D50F25">
        <w:t xml:space="preserve">licit and illicit </w:t>
      </w:r>
      <w:r w:rsidR="005C3A72">
        <w:t xml:space="preserve">flows based on </w:t>
      </w:r>
      <w:r w:rsidR="00D50F25">
        <w:t xml:space="preserve">major </w:t>
      </w:r>
      <w:r w:rsidR="005C3A72">
        <w:t xml:space="preserve">crypto-currencies </w:t>
      </w:r>
      <w:r w:rsidR="009668DB">
        <w:t xml:space="preserve"> </w:t>
      </w:r>
      <w:r w:rsidRPr="009603EF">
        <w:t>as well as on (</w:t>
      </w:r>
      <w:r w:rsidR="006C1DBF">
        <w:t>i</w:t>
      </w:r>
      <w:r w:rsidRPr="009603EF">
        <w:t xml:space="preserve">ii) information gathered through the Global Drug Survey, a non-representative convenience sample of roughly 100,000 self-selected people from more than 50 countries each year.  </w:t>
      </w:r>
      <w:r w:rsidRPr="00E113B0">
        <w:t xml:space="preserve"> </w:t>
      </w:r>
    </w:p>
    <w:p w:rsidR="00D219C4" w:rsidRPr="009603EF" w:rsidRDefault="00BC358B" w:rsidP="00D219C4">
      <w:pPr>
        <w:pStyle w:val="a3"/>
        <w:rPr>
          <w:sz w:val="24"/>
          <w:szCs w:val="24"/>
        </w:rPr>
      </w:pPr>
      <w:r w:rsidRPr="009603EF">
        <w:rPr>
          <w:sz w:val="24"/>
          <w:szCs w:val="24"/>
        </w:rPr>
        <w:t xml:space="preserve"> </w:t>
      </w:r>
      <w:r w:rsidR="00E113B0" w:rsidRPr="009603EF">
        <w:rPr>
          <w:sz w:val="24"/>
          <w:szCs w:val="24"/>
        </w:rPr>
        <w:t>Hikari La</w:t>
      </w:r>
      <w:r w:rsidR="00E113B0" w:rsidRPr="00AA7203">
        <w:rPr>
          <w:sz w:val="24"/>
          <w:szCs w:val="24"/>
        </w:rPr>
        <w:t>bs</w:t>
      </w:r>
      <w:r w:rsidRPr="009603EF">
        <w:rPr>
          <w:sz w:val="24"/>
          <w:szCs w:val="24"/>
        </w:rPr>
        <w:t xml:space="preserve"> is </w:t>
      </w:r>
      <w:r w:rsidR="00E113B0" w:rsidRPr="009603EF">
        <w:rPr>
          <w:sz w:val="24"/>
          <w:szCs w:val="24"/>
        </w:rPr>
        <w:t>a spin-out from Carnegie Mellon University’s CyLab Security and Privacy institute, located in Pittsburgh, Pennsylvania</w:t>
      </w:r>
      <w:r w:rsidRPr="009603EF">
        <w:rPr>
          <w:sz w:val="24"/>
          <w:szCs w:val="24"/>
        </w:rPr>
        <w:t>. Hikari La</w:t>
      </w:r>
      <w:r w:rsidRPr="00AA7203">
        <w:rPr>
          <w:sz w:val="24"/>
          <w:szCs w:val="24"/>
        </w:rPr>
        <w:t>bs</w:t>
      </w:r>
      <w:r w:rsidRPr="009603EF">
        <w:rPr>
          <w:sz w:val="24"/>
          <w:szCs w:val="24"/>
        </w:rPr>
        <w:t xml:space="preserve"> regularly scraps major darknet markets</w:t>
      </w:r>
      <w:r w:rsidR="00AA7203">
        <w:rPr>
          <w:sz w:val="24"/>
          <w:szCs w:val="24"/>
        </w:rPr>
        <w:t xml:space="preserve">. </w:t>
      </w:r>
      <w:r w:rsidR="00D219C4" w:rsidRPr="009603EF">
        <w:rPr>
          <w:sz w:val="24"/>
          <w:szCs w:val="24"/>
        </w:rPr>
        <w:t xml:space="preserve">The raw data obtained from such monitoring was then used by UNODC for further calculations and analyses. </w:t>
      </w:r>
    </w:p>
    <w:p w:rsidR="00A978AF" w:rsidRPr="009603EF" w:rsidRDefault="00A978AF" w:rsidP="00A978AF">
      <w:pPr>
        <w:autoSpaceDE w:val="0"/>
        <w:autoSpaceDN w:val="0"/>
        <w:adjustRightInd w:val="0"/>
        <w:spacing w:before="0" w:line="240" w:lineRule="auto"/>
        <w:jc w:val="left"/>
      </w:pPr>
    </w:p>
    <w:p w:rsidR="00D219C4" w:rsidRDefault="00A978AF" w:rsidP="003956CD">
      <w:pPr>
        <w:autoSpaceDE w:val="0"/>
        <w:autoSpaceDN w:val="0"/>
        <w:adjustRightInd w:val="0"/>
        <w:spacing w:before="0"/>
        <w:jc w:val="left"/>
      </w:pPr>
      <w:r w:rsidRPr="009603EF">
        <w:t xml:space="preserve">Data from Hikari Labs provide </w:t>
      </w:r>
      <w:r w:rsidR="009021A6" w:rsidRPr="009603EF">
        <w:t xml:space="preserve">detailed </w:t>
      </w:r>
      <w:r w:rsidRPr="009603EF">
        <w:t xml:space="preserve">information on </w:t>
      </w:r>
      <w:r w:rsidR="001A299F">
        <w:t xml:space="preserve">39 </w:t>
      </w:r>
      <w:r w:rsidR="009021A6" w:rsidRPr="009603EF">
        <w:t>major global darknet markets analyzed over the period 2011-</w:t>
      </w:r>
      <w:r w:rsidR="001A299F">
        <w:t>2022</w:t>
      </w:r>
      <w:r w:rsidR="009021A6" w:rsidRPr="009603EF">
        <w:t xml:space="preserve">, thus providing insights into a </w:t>
      </w:r>
      <w:r w:rsidRPr="009603EF">
        <w:t xml:space="preserve">number of dimensions of </w:t>
      </w:r>
      <w:r w:rsidR="009021A6" w:rsidRPr="009603EF">
        <w:t xml:space="preserve">global </w:t>
      </w:r>
      <w:r w:rsidRPr="009603EF">
        <w:t xml:space="preserve">darknet market activities. </w:t>
      </w:r>
      <w:r w:rsidR="000C47C5" w:rsidRPr="009603EF">
        <w:t xml:space="preserve"> </w:t>
      </w:r>
    </w:p>
    <w:p w:rsidR="00AA7203" w:rsidRPr="009603EF" w:rsidRDefault="00AA7203" w:rsidP="00D219C4">
      <w:pPr>
        <w:autoSpaceDE w:val="0"/>
        <w:autoSpaceDN w:val="0"/>
        <w:adjustRightInd w:val="0"/>
        <w:spacing w:before="0"/>
        <w:jc w:val="left"/>
      </w:pPr>
    </w:p>
    <w:p w:rsidR="000C47C5" w:rsidRPr="009603EF" w:rsidRDefault="009021A6" w:rsidP="00D219C4">
      <w:pPr>
        <w:autoSpaceDE w:val="0"/>
        <w:autoSpaceDN w:val="0"/>
        <w:adjustRightInd w:val="0"/>
        <w:spacing w:before="0"/>
        <w:jc w:val="left"/>
      </w:pPr>
      <w:r w:rsidRPr="009603EF">
        <w:t>Data provided include information on individual transactions, the minimum sales generated by vendors on the various markets, the length of time markets were operating and/or vendors have been active on such darknet markets, the type of substances or services</w:t>
      </w:r>
      <w:r>
        <w:rPr>
          <w:rFonts w:ascii="Calibri" w:hAnsi="Calibri" w:cs="Calibri"/>
        </w:rPr>
        <w:t xml:space="preserve"> </w:t>
      </w:r>
      <w:r w:rsidRPr="009603EF">
        <w:t>offered and</w:t>
      </w:r>
      <w:r>
        <w:rPr>
          <w:rFonts w:ascii="Calibri" w:hAnsi="Calibri" w:cs="Calibri"/>
        </w:rPr>
        <w:t xml:space="preserve"> </w:t>
      </w:r>
      <w:r w:rsidRPr="009603EF">
        <w:t xml:space="preserve">sold, </w:t>
      </w:r>
      <w:r w:rsidRPr="009603EF">
        <w:lastRenderedPageBreak/>
        <w:t xml:space="preserve">the likely origin of the vendors (i.e. from where the substances were shipped) or the distribution of darknet sales. </w:t>
      </w:r>
    </w:p>
    <w:p w:rsidR="000C47C5" w:rsidRPr="009603EF" w:rsidRDefault="000C47C5" w:rsidP="009021A6">
      <w:pPr>
        <w:autoSpaceDE w:val="0"/>
        <w:autoSpaceDN w:val="0"/>
        <w:adjustRightInd w:val="0"/>
        <w:spacing w:before="0"/>
        <w:jc w:val="left"/>
      </w:pPr>
    </w:p>
    <w:p w:rsidR="00A978AF" w:rsidRPr="009603EF" w:rsidRDefault="00614936" w:rsidP="009603EF">
      <w:pPr>
        <w:autoSpaceDE w:val="0"/>
        <w:autoSpaceDN w:val="0"/>
        <w:adjustRightInd w:val="0"/>
        <w:spacing w:before="0"/>
        <w:jc w:val="left"/>
      </w:pPr>
      <w:r w:rsidRPr="009603EF">
        <w:t xml:space="preserve">As of June 2022, more than 1.4 million listings of drugs and other substances and services were identified on </w:t>
      </w:r>
      <w:r w:rsidR="000C47C5" w:rsidRPr="009603EF">
        <w:t xml:space="preserve">the monitored </w:t>
      </w:r>
      <w:r w:rsidRPr="009603EF">
        <w:t>darknet markets over the period 2011-June 2022</w:t>
      </w:r>
      <w:r w:rsidR="000C47C5" w:rsidRPr="009603EF">
        <w:t xml:space="preserve">; more than 87,000 vendors were identified, leading to more than $19 million transactions via the darkweb and total sales of more than $1.29 billion of which more than 90 per cent were drug related in recent years (91 per cent in 2021). </w:t>
      </w:r>
    </w:p>
    <w:p w:rsidR="00A978AF" w:rsidRPr="009603EF" w:rsidRDefault="00A978AF" w:rsidP="009603EF">
      <w:pPr>
        <w:autoSpaceDE w:val="0"/>
        <w:autoSpaceDN w:val="0"/>
        <w:adjustRightInd w:val="0"/>
        <w:spacing w:before="0"/>
        <w:jc w:val="left"/>
      </w:pPr>
    </w:p>
    <w:p w:rsidR="00A978AF" w:rsidRPr="009603EF" w:rsidRDefault="00A978AF" w:rsidP="009603EF">
      <w:pPr>
        <w:autoSpaceDE w:val="0"/>
        <w:autoSpaceDN w:val="0"/>
        <w:adjustRightInd w:val="0"/>
        <w:spacing w:before="0"/>
        <w:jc w:val="left"/>
      </w:pPr>
      <w:r w:rsidRPr="009603EF">
        <w:t>Drugs and other goods and services are usually offered by vendors on a darknet market, providing information on the quantities of items offered and the price requested. Once a transaction has taken place and the item delivered, the customer usually leaves feedback under the listed item. While the effective money flows are usually not</w:t>
      </w:r>
      <w:r w:rsidR="009021A6" w:rsidRPr="009603EF">
        <w:t xml:space="preserve"> </w:t>
      </w:r>
      <w:r w:rsidRPr="009603EF">
        <w:t xml:space="preserve">known, feedback can be used </w:t>
      </w:r>
      <w:r w:rsidR="009021A6" w:rsidRPr="009603EF">
        <w:t xml:space="preserve">as </w:t>
      </w:r>
      <w:r w:rsidRPr="009603EF">
        <w:t xml:space="preserve">a proxy for actual transactions. Sales calculations then assume that </w:t>
      </w:r>
      <w:r w:rsidR="009021A6" w:rsidRPr="009603EF">
        <w:t>“</w:t>
      </w:r>
      <w:r w:rsidRPr="009603EF">
        <w:t>one</w:t>
      </w:r>
      <w:r w:rsidR="009021A6" w:rsidRPr="009603EF">
        <w:t>”</w:t>
      </w:r>
      <w:r w:rsidRPr="009603EF">
        <w:t xml:space="preserve"> item at the offered price was purchased.  Calculating the total sales made on a darknet market on the basis of the number of individual feedback comments </w:t>
      </w:r>
      <w:r w:rsidR="00614936" w:rsidRPr="009603EF">
        <w:t xml:space="preserve">thus </w:t>
      </w:r>
      <w:r w:rsidR="000C47C5" w:rsidRPr="009603EF">
        <w:t>g</w:t>
      </w:r>
      <w:r w:rsidRPr="009603EF">
        <w:t>enerates a conservative (i.e. a low) estimate because:</w:t>
      </w:r>
    </w:p>
    <w:p w:rsidR="00A978AF" w:rsidRPr="009603EF" w:rsidRDefault="00614936" w:rsidP="009603EF">
      <w:pPr>
        <w:numPr>
          <w:ilvl w:val="0"/>
          <w:numId w:val="32"/>
        </w:numPr>
        <w:autoSpaceDE w:val="0"/>
        <w:autoSpaceDN w:val="0"/>
        <w:adjustRightInd w:val="0"/>
        <w:spacing w:before="0"/>
        <w:jc w:val="left"/>
      </w:pPr>
      <w:r w:rsidRPr="009603EF">
        <w:t>n</w:t>
      </w:r>
      <w:r w:rsidR="00A978AF" w:rsidRPr="009603EF">
        <w:t>ot all customers leave feedback</w:t>
      </w:r>
      <w:r w:rsidR="009021A6" w:rsidRPr="009603EF">
        <w:t xml:space="preserve"> though o</w:t>
      </w:r>
      <w:r w:rsidR="00A978AF" w:rsidRPr="009603EF">
        <w:t xml:space="preserve">n some markets customers are </w:t>
      </w:r>
      <w:r w:rsidR="009021A6" w:rsidRPr="009603EF">
        <w:t xml:space="preserve">actually </w:t>
      </w:r>
      <w:r w:rsidR="00A978AF" w:rsidRPr="009603EF">
        <w:t>compelled to comment because vendors consider positive feedback to be one of the most important marketing tools on the dark web</w:t>
      </w:r>
      <w:r w:rsidR="009021A6" w:rsidRPr="009603EF">
        <w:t>;</w:t>
      </w:r>
      <w:r w:rsidR="00A978AF" w:rsidRPr="009603EF">
        <w:t xml:space="preserve"> </w:t>
      </w:r>
    </w:p>
    <w:p w:rsidR="00614936" w:rsidRPr="009603EF" w:rsidRDefault="00614936" w:rsidP="009603EF">
      <w:pPr>
        <w:numPr>
          <w:ilvl w:val="0"/>
          <w:numId w:val="32"/>
        </w:numPr>
        <w:autoSpaceDE w:val="0"/>
        <w:autoSpaceDN w:val="0"/>
        <w:adjustRightInd w:val="0"/>
        <w:spacing w:before="0"/>
        <w:jc w:val="left"/>
      </w:pPr>
      <w:r w:rsidRPr="009603EF">
        <w:t>a</w:t>
      </w:r>
      <w:r w:rsidR="00A978AF" w:rsidRPr="009603EF">
        <w:t xml:space="preserve"> customer can purchase more than the minimum unit quantity offered on a darknet market. However, this is not really convenient</w:t>
      </w:r>
      <w:r w:rsidR="009021A6" w:rsidRPr="009603EF">
        <w:t xml:space="preserve"> as</w:t>
      </w:r>
      <w:r w:rsidR="00A978AF" w:rsidRPr="009603EF">
        <w:t xml:space="preserve"> larger quantities are usually offered at lower unit prices</w:t>
      </w:r>
      <w:r w:rsidR="009021A6" w:rsidRPr="009603EF">
        <w:t>.</w:t>
      </w:r>
      <w:r w:rsidR="00A978AF" w:rsidRPr="009603EF">
        <w:t xml:space="preserve"> There are thus indications that most customers purchase the standard unit quantity offered or only slightly larger quantities.</w:t>
      </w:r>
    </w:p>
    <w:p w:rsidR="00A978AF" w:rsidRPr="009603EF" w:rsidRDefault="00614936" w:rsidP="009603EF">
      <w:pPr>
        <w:numPr>
          <w:ilvl w:val="0"/>
          <w:numId w:val="32"/>
        </w:numPr>
        <w:autoSpaceDE w:val="0"/>
        <w:autoSpaceDN w:val="0"/>
        <w:adjustRightInd w:val="0"/>
        <w:spacing w:before="0"/>
        <w:jc w:val="left"/>
      </w:pPr>
      <w:r w:rsidRPr="009603EF">
        <w:t>n</w:t>
      </w:r>
      <w:r w:rsidR="00A978AF" w:rsidRPr="009603EF">
        <w:t>ot all sites from a darknet market can be fully scraped within a short period of time without arousing suspicion by site administrators.</w:t>
      </w:r>
      <w:r w:rsidR="009021A6" w:rsidRPr="009603EF">
        <w:t xml:space="preserve"> </w:t>
      </w:r>
      <w:r w:rsidR="00A978AF" w:rsidRPr="009603EF">
        <w:t>Thus, the actual proportion scraped can differ substantially from market to market and over time (ranging</w:t>
      </w:r>
      <w:r w:rsidR="009021A6" w:rsidRPr="009603EF">
        <w:t xml:space="preserve"> </w:t>
      </w:r>
      <w:r w:rsidR="00A978AF" w:rsidRPr="009603EF">
        <w:t xml:space="preserve">initially (i.e. prior to mid–2015) from 60 per cent to more than 90 per cent of market sites). In recent years, this bias seems to have gained </w:t>
      </w:r>
      <w:r w:rsidR="009021A6" w:rsidRPr="009603EF">
        <w:t xml:space="preserve">even further in </w:t>
      </w:r>
      <w:r w:rsidR="00A978AF" w:rsidRPr="009603EF">
        <w:t>importance, possibly as a result of administrators</w:t>
      </w:r>
      <w:r w:rsidR="00A978AF" w:rsidRPr="009603EF">
        <w:rPr>
          <w:rFonts w:ascii="Calibri" w:hAnsi="Calibri" w:cs="Calibri"/>
        </w:rPr>
        <w:t xml:space="preserve"> being </w:t>
      </w:r>
      <w:r w:rsidR="00A978AF" w:rsidRPr="009603EF">
        <w:t xml:space="preserve">better equipped to combat unwanted monitoring. On average 50 per cent of darknet market sites could actually be scraped in the period </w:t>
      </w:r>
      <w:r w:rsidR="00A978AF" w:rsidRPr="009603EF">
        <w:lastRenderedPageBreak/>
        <w:t xml:space="preserve">mid-2017–2020, compared with close to 87 per cent in the period 2011–mid-2017. Assuming items offered and sold on non-scraped darknet sites are similar to those on scraped darknet sites (which is not certain), this could mean that actual darknet sales </w:t>
      </w:r>
      <w:r w:rsidRPr="009603EF">
        <w:t xml:space="preserve">may be </w:t>
      </w:r>
      <w:r w:rsidR="00A978AF" w:rsidRPr="009603EF">
        <w:t xml:space="preserve">twice as high as the </w:t>
      </w:r>
      <w:r w:rsidRPr="009603EF">
        <w:t xml:space="preserve">calculated </w:t>
      </w:r>
      <w:r w:rsidR="00A978AF" w:rsidRPr="009603EF">
        <w:t>minimum darknet sales</w:t>
      </w:r>
      <w:r w:rsidRPr="009603EF">
        <w:t xml:space="preserve"> </w:t>
      </w:r>
      <w:r w:rsidR="00A978AF" w:rsidRPr="009603EF">
        <w:t>shown in th</w:t>
      </w:r>
      <w:r w:rsidRPr="009603EF">
        <w:t xml:space="preserve">e World Drug Report. </w:t>
      </w:r>
    </w:p>
    <w:p w:rsidR="00614936" w:rsidRPr="009603EF" w:rsidRDefault="00614936" w:rsidP="00614936">
      <w:pPr>
        <w:autoSpaceDE w:val="0"/>
        <w:autoSpaceDN w:val="0"/>
        <w:adjustRightInd w:val="0"/>
        <w:spacing w:before="0"/>
        <w:jc w:val="left"/>
      </w:pPr>
    </w:p>
    <w:p w:rsidR="00614936" w:rsidRPr="009603EF" w:rsidRDefault="00614936" w:rsidP="00614936">
      <w:pPr>
        <w:autoSpaceDE w:val="0"/>
        <w:autoSpaceDN w:val="0"/>
        <w:adjustRightInd w:val="0"/>
        <w:spacing w:before="0"/>
        <w:jc w:val="left"/>
      </w:pPr>
      <w:r w:rsidRPr="009603EF">
        <w:t>It should be also noted that the coverage of individual markets through scraping attempts may significantly differ. There are, e.g. indications that the actual coverage of information collected from Hydra market,</w:t>
      </w:r>
      <w:r w:rsidR="000C47C5" w:rsidRPr="009603EF">
        <w:t xml:space="preserve"> for instance,</w:t>
      </w:r>
      <w:r w:rsidRPr="009603EF">
        <w:t xml:space="preserve"> the world’s largest darknet market operating in the Russian language, may have been  particularly low</w:t>
      </w:r>
      <w:r w:rsidR="00437A30">
        <w:t xml:space="preserve"> (less than 1 per cent)</w:t>
      </w:r>
      <w:r w:rsidRPr="009603EF">
        <w:t xml:space="preserve">, suggesting that actual sales done on this market may well have been substantially higher than indicated through the minimum sales figures shown in the graphs of the World Drug Report.  </w:t>
      </w:r>
    </w:p>
    <w:p w:rsidR="00AA7203" w:rsidRDefault="00AA7203" w:rsidP="00614936">
      <w:pPr>
        <w:autoSpaceDE w:val="0"/>
        <w:autoSpaceDN w:val="0"/>
        <w:adjustRightInd w:val="0"/>
        <w:spacing w:before="0"/>
        <w:jc w:val="left"/>
      </w:pPr>
    </w:p>
    <w:p w:rsidR="00CE1C1D" w:rsidRPr="009603EF" w:rsidRDefault="00CE1C1D" w:rsidP="004B6C86">
      <w:pPr>
        <w:widowControl w:val="0"/>
        <w:autoSpaceDE w:val="0"/>
        <w:autoSpaceDN w:val="0"/>
        <w:adjustRightInd w:val="0"/>
        <w:spacing w:before="0"/>
        <w:jc w:val="left"/>
      </w:pPr>
      <w:r w:rsidRPr="009603EF">
        <w:t xml:space="preserve">Data collected and analysed also enabled the identification of the main departure countries of drug shipments. Though not all vendors may have truthfully reported from where the drugs were shipped, there are still indications that by and large the information was basically correct as countries which would have been farther away from the final consumers would have led to negative feedback of customers complaining about the unexpectedly long shipping period.    </w:t>
      </w:r>
    </w:p>
    <w:p w:rsidR="00AA7203" w:rsidRDefault="00AA7203" w:rsidP="00614936">
      <w:pPr>
        <w:autoSpaceDE w:val="0"/>
        <w:autoSpaceDN w:val="0"/>
        <w:adjustRightInd w:val="0"/>
        <w:spacing w:before="0"/>
        <w:jc w:val="left"/>
      </w:pPr>
    </w:p>
    <w:p w:rsidR="00E24F15" w:rsidRDefault="00E24F15" w:rsidP="00614936">
      <w:pPr>
        <w:autoSpaceDE w:val="0"/>
        <w:autoSpaceDN w:val="0"/>
        <w:adjustRightInd w:val="0"/>
        <w:spacing w:before="0"/>
        <w:jc w:val="left"/>
      </w:pPr>
      <w:r>
        <w:t xml:space="preserve">The second main source of information </w:t>
      </w:r>
      <w:r w:rsidR="00DF1A78">
        <w:t>were data collected by Chinanalysis,</w:t>
      </w:r>
      <w:r w:rsidR="0013661F">
        <w:t xml:space="preserve"> based on an analysis of the blockchains of major </w:t>
      </w:r>
      <w:r w:rsidR="00C234AF">
        <w:t>crypto-currencies</w:t>
      </w:r>
      <w:r w:rsidR="00234CD4">
        <w:t>. Such data are</w:t>
      </w:r>
      <w:r w:rsidR="00C234AF">
        <w:t xml:space="preserve"> also the basis for </w:t>
      </w:r>
      <w:r w:rsidR="006E1CC4">
        <w:t xml:space="preserve">the </w:t>
      </w:r>
      <w:r w:rsidR="0013661F">
        <w:t>annual Crypto Crime Reports</w:t>
      </w:r>
      <w:r w:rsidR="006E1CC4">
        <w:t xml:space="preserve"> </w:t>
      </w:r>
      <w:r w:rsidR="00234CD4">
        <w:t xml:space="preserve">issued </w:t>
      </w:r>
      <w:r w:rsidR="006E1CC4">
        <w:t>by Chainanalysis</w:t>
      </w:r>
      <w:r w:rsidR="0013661F">
        <w:t xml:space="preserve">. </w:t>
      </w:r>
      <w:r w:rsidR="00524F15">
        <w:t xml:space="preserve">The analysis of such </w:t>
      </w:r>
      <w:r w:rsidR="00D8117C">
        <w:t xml:space="preserve">blockchain </w:t>
      </w:r>
      <w:r w:rsidR="00524F15">
        <w:t xml:space="preserve">data showed overall significantly higher levels of darknet market activities than the </w:t>
      </w:r>
      <w:r w:rsidR="00C96D7F">
        <w:t xml:space="preserve">minimum sales </w:t>
      </w:r>
      <w:r w:rsidR="00524F15">
        <w:t xml:space="preserve">data collected via web-crawler techniques </w:t>
      </w:r>
      <w:r w:rsidR="00C96D7F">
        <w:t>on major darknet markets.</w:t>
      </w:r>
      <w:r w:rsidR="00D93719">
        <w:t xml:space="preserve"> </w:t>
      </w:r>
      <w:r w:rsidR="008D0A81">
        <w:t>Irrespective of differences, b</w:t>
      </w:r>
      <w:r w:rsidR="00D93719">
        <w:t xml:space="preserve">oth data </w:t>
      </w:r>
      <w:r w:rsidR="00D8117C">
        <w:t xml:space="preserve">sets </w:t>
      </w:r>
      <w:r w:rsidR="00965F0A">
        <w:t xml:space="preserve">indicated </w:t>
      </w:r>
      <w:r w:rsidR="0095096E">
        <w:t xml:space="preserve">a strong decline of such </w:t>
      </w:r>
      <w:r w:rsidR="008A45F6">
        <w:t xml:space="preserve">darknet market </w:t>
      </w:r>
      <w:r w:rsidR="0095096E">
        <w:t xml:space="preserve">activities in 2022, </w:t>
      </w:r>
      <w:r w:rsidR="008A45F6">
        <w:t xml:space="preserve">primarily </w:t>
      </w:r>
      <w:r w:rsidR="0095096E">
        <w:t xml:space="preserve">linked to the dismantling </w:t>
      </w:r>
      <w:r w:rsidR="00856F3A">
        <w:t>of Hydra market</w:t>
      </w:r>
      <w:r w:rsidR="00366A65">
        <w:t xml:space="preserve"> by the German authorities in April 2022. This was</w:t>
      </w:r>
      <w:r w:rsidR="00965F0A">
        <w:t xml:space="preserve"> a mainly Russian speaking darknet market,</w:t>
      </w:r>
      <w:r w:rsidR="00F1702A">
        <w:t xml:space="preserve"> </w:t>
      </w:r>
      <w:r w:rsidR="00856F3A">
        <w:t xml:space="preserve">which in recent years </w:t>
      </w:r>
      <w:r w:rsidR="00F1702A">
        <w:t xml:space="preserve">seems </w:t>
      </w:r>
      <w:r w:rsidR="003A5A98">
        <w:t xml:space="preserve">to have </w:t>
      </w:r>
      <w:r w:rsidR="00856F3A">
        <w:t xml:space="preserve">accounted for </w:t>
      </w:r>
      <w:r w:rsidR="003A5A98">
        <w:t>close to</w:t>
      </w:r>
      <w:r w:rsidR="00856F3A">
        <w:t xml:space="preserve"> 80 per cent of all darknet market activities</w:t>
      </w:r>
      <w:r w:rsidR="00D93DAF">
        <w:t>,</w:t>
      </w:r>
      <w:r w:rsidR="00856F3A">
        <w:t xml:space="preserve"> </w:t>
      </w:r>
      <w:r w:rsidR="00C96D7F">
        <w:t xml:space="preserve"> </w:t>
      </w:r>
      <w:r w:rsidR="00524F15">
        <w:t xml:space="preserve"> </w:t>
      </w:r>
    </w:p>
    <w:p w:rsidR="00AA1ABD" w:rsidRDefault="00AA1ABD" w:rsidP="00614936">
      <w:pPr>
        <w:autoSpaceDE w:val="0"/>
        <w:autoSpaceDN w:val="0"/>
        <w:adjustRightInd w:val="0"/>
        <w:spacing w:before="0"/>
        <w:jc w:val="left"/>
      </w:pPr>
    </w:p>
    <w:p w:rsidR="00FF5C59" w:rsidRDefault="00AA1ABD" w:rsidP="00614936">
      <w:pPr>
        <w:autoSpaceDE w:val="0"/>
        <w:autoSpaceDN w:val="0"/>
        <w:adjustRightInd w:val="0"/>
        <w:spacing w:before="0"/>
        <w:jc w:val="left"/>
      </w:pPr>
      <w:r w:rsidRPr="00AA1ABD">
        <w:lastRenderedPageBreak/>
        <w:t>Observed minimum sales on 39 major darknet markets (mostly drug-related) and estimates of overall darknet market sales (mostly drug-related) based on analysis of blockchain, 2011-2022</w:t>
      </w:r>
    </w:p>
    <w:p w:rsidR="00FF5C59" w:rsidRDefault="00FF5C59" w:rsidP="00614936">
      <w:pPr>
        <w:autoSpaceDE w:val="0"/>
        <w:autoSpaceDN w:val="0"/>
        <w:adjustRightInd w:val="0"/>
        <w:spacing w:before="0"/>
        <w:jc w:val="left"/>
      </w:pPr>
      <w:r>
        <w:rPr>
          <w:noProof/>
          <w:lang w:val="en-US" w:eastAsia="zh-CN"/>
        </w:rPr>
        <w:drawing>
          <wp:inline distT="0" distB="0" distL="0" distR="0">
            <wp:extent cx="4598052" cy="2816469"/>
            <wp:effectExtent l="0" t="0" r="12065" b="3175"/>
            <wp:docPr id="16" name="Chart 1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24F15" w:rsidRPr="004B6C86" w:rsidRDefault="00DF1A78" w:rsidP="00614936">
      <w:pPr>
        <w:autoSpaceDE w:val="0"/>
        <w:autoSpaceDN w:val="0"/>
        <w:adjustRightInd w:val="0"/>
        <w:spacing w:before="0"/>
        <w:jc w:val="left"/>
        <w:rPr>
          <w:sz w:val="18"/>
          <w:szCs w:val="18"/>
        </w:rPr>
      </w:pPr>
      <w:r w:rsidRPr="004B6C86">
        <w:rPr>
          <w:sz w:val="18"/>
          <w:szCs w:val="18"/>
        </w:rPr>
        <w:t>Sources: UNODC calculations based on Hikari Labs data and Chainanalysis, Crypto Crime Report 2023 (and previous years).</w:t>
      </w:r>
    </w:p>
    <w:p w:rsidR="00DF1A78" w:rsidRPr="009603EF" w:rsidRDefault="00DF1A78" w:rsidP="00614936">
      <w:pPr>
        <w:autoSpaceDE w:val="0"/>
        <w:autoSpaceDN w:val="0"/>
        <w:adjustRightInd w:val="0"/>
        <w:spacing w:before="0"/>
        <w:jc w:val="left"/>
      </w:pPr>
    </w:p>
    <w:p w:rsidR="003154A5" w:rsidRPr="009603EF" w:rsidRDefault="00CE1C1D" w:rsidP="00614936">
      <w:pPr>
        <w:autoSpaceDE w:val="0"/>
        <w:autoSpaceDN w:val="0"/>
        <w:adjustRightInd w:val="0"/>
        <w:spacing w:before="0"/>
        <w:jc w:val="left"/>
      </w:pPr>
      <w:r w:rsidRPr="009603EF">
        <w:t xml:space="preserve">The </w:t>
      </w:r>
      <w:r w:rsidR="00F41DD5">
        <w:t xml:space="preserve">third </w:t>
      </w:r>
      <w:r w:rsidRPr="009603EF">
        <w:t xml:space="preserve">main source of information on trends in darknet markets came from information collected via the </w:t>
      </w:r>
      <w:r w:rsidRPr="009603EF">
        <w:rPr>
          <w:b/>
          <w:bCs/>
        </w:rPr>
        <w:t>Global Drug Survey</w:t>
      </w:r>
      <w:r w:rsidRPr="009603EF">
        <w:t xml:space="preserve">.  Even though this information is not based on a random sample, usually used in social sciences, the mere size of the number of participants can help shed some light on underlying trends. </w:t>
      </w:r>
      <w:r w:rsidR="003154A5" w:rsidRPr="009603EF">
        <w:t xml:space="preserve">Even though the overall number of participants of the Global Survey fluctuated around 100,000 people in recent years, the number of people providing specific answers to darknet market questions was, however, substantially smaller.  </w:t>
      </w:r>
      <w:r w:rsidR="00AA7203" w:rsidRPr="00AA7203">
        <w:t>Thus,</w:t>
      </w:r>
      <w:r w:rsidR="003154A5" w:rsidRPr="009603EF">
        <w:t xml:space="preserve"> the information of people who purchased drugs via the darkweb was based on information of around 23,300 persons in 2022 and, on average,  54,000 persons per year over the period 2014-2022. While the number of persons providing answers to this question rose strongly from 53,000 by January 2014 to 88,000 by January 2020, the numbers declined again during the two COVID years to around 24,000 by January 2021 and 23,000 by January 2022. </w:t>
      </w:r>
      <w:r w:rsidR="00D5384C" w:rsidRPr="009603EF">
        <w:t xml:space="preserve"> To what extent changes in the participation rates in this survey also influenced the overall outcome of the results is, however, difficult to judge. </w:t>
      </w:r>
    </w:p>
    <w:p w:rsidR="003154A5" w:rsidRPr="009603EF" w:rsidRDefault="003154A5" w:rsidP="00614936">
      <w:pPr>
        <w:autoSpaceDE w:val="0"/>
        <w:autoSpaceDN w:val="0"/>
        <w:adjustRightInd w:val="0"/>
        <w:spacing w:before="0"/>
        <w:jc w:val="left"/>
        <w:rPr>
          <w:rFonts w:ascii="Calibri" w:hAnsi="Calibri" w:cs="Calibri"/>
          <w:b/>
          <w:bCs/>
        </w:rPr>
      </w:pPr>
    </w:p>
    <w:p w:rsidR="003154A5" w:rsidRPr="009603EF" w:rsidRDefault="00AF35E8" w:rsidP="009603EF">
      <w:pPr>
        <w:autoSpaceDE w:val="0"/>
        <w:autoSpaceDN w:val="0"/>
        <w:adjustRightInd w:val="0"/>
        <w:spacing w:before="0"/>
        <w:jc w:val="center"/>
        <w:rPr>
          <w:sz w:val="20"/>
          <w:szCs w:val="20"/>
        </w:rPr>
      </w:pPr>
      <w:r>
        <w:rPr>
          <w:sz w:val="20"/>
          <w:szCs w:val="20"/>
        </w:rPr>
        <w:t>Tab</w:t>
      </w:r>
      <w:r w:rsidR="0065054D">
        <w:rPr>
          <w:sz w:val="20"/>
          <w:szCs w:val="20"/>
        </w:rPr>
        <w:t xml:space="preserve">le: </w:t>
      </w:r>
      <w:r w:rsidR="003154A5" w:rsidRPr="009603EF">
        <w:rPr>
          <w:sz w:val="20"/>
          <w:szCs w:val="20"/>
        </w:rPr>
        <w:t>Obtaining drugs from darknet markets in the last 12 months</w:t>
      </w:r>
    </w:p>
    <w:tbl>
      <w:tblPr>
        <w:tblW w:w="973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094"/>
        <w:gridCol w:w="960"/>
        <w:gridCol w:w="960"/>
        <w:gridCol w:w="960"/>
        <w:gridCol w:w="960"/>
        <w:gridCol w:w="960"/>
        <w:gridCol w:w="960"/>
        <w:gridCol w:w="960"/>
        <w:gridCol w:w="960"/>
        <w:gridCol w:w="960"/>
      </w:tblGrid>
      <w:tr w:rsidR="003154A5" w:rsidRPr="009603EF" w:rsidTr="009603EF">
        <w:trPr>
          <w:trHeight w:val="300"/>
        </w:trPr>
        <w:tc>
          <w:tcPr>
            <w:tcW w:w="1094" w:type="dxa"/>
            <w:shd w:val="clear" w:color="auto" w:fill="auto"/>
            <w:noWrap/>
            <w:vAlign w:val="bottom"/>
            <w:hideMark/>
          </w:tcPr>
          <w:p w:rsidR="003154A5" w:rsidRPr="009603EF" w:rsidRDefault="003154A5" w:rsidP="003154A5">
            <w:pPr>
              <w:spacing w:before="0" w:line="240" w:lineRule="auto"/>
              <w:jc w:val="left"/>
              <w:rPr>
                <w:sz w:val="20"/>
                <w:szCs w:val="20"/>
              </w:rPr>
            </w:pP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2014</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2015</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2016</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2017</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2018</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2019</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2020</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2021</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2022</w:t>
            </w:r>
          </w:p>
        </w:tc>
      </w:tr>
      <w:tr w:rsidR="003154A5" w:rsidRPr="009603EF" w:rsidTr="009603EF">
        <w:trPr>
          <w:trHeight w:val="300"/>
        </w:trPr>
        <w:tc>
          <w:tcPr>
            <w:tcW w:w="1094" w:type="dxa"/>
            <w:shd w:val="clear" w:color="auto" w:fill="auto"/>
            <w:noWrap/>
            <w:vAlign w:val="bottom"/>
            <w:hideMark/>
          </w:tcPr>
          <w:p w:rsidR="003154A5" w:rsidRPr="009603EF" w:rsidRDefault="00AA7203" w:rsidP="003154A5">
            <w:pPr>
              <w:spacing w:before="0" w:line="240" w:lineRule="auto"/>
              <w:jc w:val="right"/>
              <w:rPr>
                <w:sz w:val="20"/>
                <w:szCs w:val="20"/>
              </w:rPr>
            </w:pPr>
            <w:r w:rsidRPr="009603EF">
              <w:rPr>
                <w:sz w:val="20"/>
                <w:szCs w:val="20"/>
              </w:rPr>
              <w:t>Numbers</w:t>
            </w:r>
          </w:p>
        </w:tc>
        <w:tc>
          <w:tcPr>
            <w:tcW w:w="960" w:type="dxa"/>
            <w:shd w:val="clear" w:color="auto" w:fill="auto"/>
            <w:noWrap/>
            <w:vAlign w:val="bottom"/>
            <w:hideMark/>
          </w:tcPr>
          <w:p w:rsidR="003154A5" w:rsidRPr="009603EF" w:rsidRDefault="003154A5" w:rsidP="003154A5">
            <w:pPr>
              <w:spacing w:before="0" w:line="240" w:lineRule="auto"/>
              <w:jc w:val="left"/>
              <w:rPr>
                <w:sz w:val="20"/>
                <w:szCs w:val="20"/>
              </w:rPr>
            </w:pPr>
          </w:p>
        </w:tc>
        <w:tc>
          <w:tcPr>
            <w:tcW w:w="960" w:type="dxa"/>
            <w:shd w:val="clear" w:color="auto" w:fill="auto"/>
            <w:noWrap/>
            <w:vAlign w:val="bottom"/>
            <w:hideMark/>
          </w:tcPr>
          <w:p w:rsidR="003154A5" w:rsidRPr="009603EF" w:rsidRDefault="003154A5" w:rsidP="003154A5">
            <w:pPr>
              <w:spacing w:before="0" w:line="240" w:lineRule="auto"/>
              <w:jc w:val="left"/>
              <w:rPr>
                <w:sz w:val="20"/>
                <w:szCs w:val="20"/>
              </w:rPr>
            </w:pPr>
          </w:p>
        </w:tc>
        <w:tc>
          <w:tcPr>
            <w:tcW w:w="960" w:type="dxa"/>
            <w:shd w:val="clear" w:color="auto" w:fill="auto"/>
            <w:noWrap/>
            <w:vAlign w:val="bottom"/>
            <w:hideMark/>
          </w:tcPr>
          <w:p w:rsidR="003154A5" w:rsidRPr="009603EF" w:rsidRDefault="003154A5" w:rsidP="003154A5">
            <w:pPr>
              <w:spacing w:before="0" w:line="240" w:lineRule="auto"/>
              <w:jc w:val="left"/>
              <w:rPr>
                <w:sz w:val="20"/>
                <w:szCs w:val="20"/>
              </w:rPr>
            </w:pPr>
          </w:p>
        </w:tc>
        <w:tc>
          <w:tcPr>
            <w:tcW w:w="960" w:type="dxa"/>
            <w:shd w:val="clear" w:color="auto" w:fill="auto"/>
            <w:noWrap/>
            <w:vAlign w:val="bottom"/>
            <w:hideMark/>
          </w:tcPr>
          <w:p w:rsidR="003154A5" w:rsidRPr="009603EF" w:rsidRDefault="003154A5" w:rsidP="003154A5">
            <w:pPr>
              <w:spacing w:before="0" w:line="240" w:lineRule="auto"/>
              <w:jc w:val="left"/>
              <w:rPr>
                <w:sz w:val="20"/>
                <w:szCs w:val="20"/>
              </w:rPr>
            </w:pPr>
          </w:p>
        </w:tc>
        <w:tc>
          <w:tcPr>
            <w:tcW w:w="960" w:type="dxa"/>
            <w:shd w:val="clear" w:color="auto" w:fill="auto"/>
            <w:noWrap/>
            <w:vAlign w:val="bottom"/>
            <w:hideMark/>
          </w:tcPr>
          <w:p w:rsidR="003154A5" w:rsidRPr="009603EF" w:rsidRDefault="003154A5" w:rsidP="003154A5">
            <w:pPr>
              <w:spacing w:before="0" w:line="240" w:lineRule="auto"/>
              <w:jc w:val="left"/>
              <w:rPr>
                <w:sz w:val="20"/>
                <w:szCs w:val="20"/>
              </w:rPr>
            </w:pPr>
          </w:p>
        </w:tc>
        <w:tc>
          <w:tcPr>
            <w:tcW w:w="960" w:type="dxa"/>
            <w:shd w:val="clear" w:color="auto" w:fill="auto"/>
            <w:noWrap/>
            <w:vAlign w:val="bottom"/>
            <w:hideMark/>
          </w:tcPr>
          <w:p w:rsidR="003154A5" w:rsidRPr="009603EF" w:rsidRDefault="003154A5" w:rsidP="003154A5">
            <w:pPr>
              <w:spacing w:before="0" w:line="240" w:lineRule="auto"/>
              <w:jc w:val="left"/>
              <w:rPr>
                <w:sz w:val="20"/>
                <w:szCs w:val="20"/>
              </w:rPr>
            </w:pPr>
          </w:p>
        </w:tc>
        <w:tc>
          <w:tcPr>
            <w:tcW w:w="960" w:type="dxa"/>
            <w:shd w:val="clear" w:color="auto" w:fill="auto"/>
            <w:noWrap/>
            <w:vAlign w:val="bottom"/>
            <w:hideMark/>
          </w:tcPr>
          <w:p w:rsidR="003154A5" w:rsidRPr="009603EF" w:rsidRDefault="003154A5" w:rsidP="003154A5">
            <w:pPr>
              <w:spacing w:before="0" w:line="240" w:lineRule="auto"/>
              <w:jc w:val="left"/>
              <w:rPr>
                <w:sz w:val="20"/>
                <w:szCs w:val="20"/>
              </w:rPr>
            </w:pPr>
          </w:p>
        </w:tc>
        <w:tc>
          <w:tcPr>
            <w:tcW w:w="960" w:type="dxa"/>
            <w:shd w:val="clear" w:color="auto" w:fill="auto"/>
            <w:noWrap/>
            <w:vAlign w:val="bottom"/>
            <w:hideMark/>
          </w:tcPr>
          <w:p w:rsidR="003154A5" w:rsidRPr="009603EF" w:rsidRDefault="003154A5" w:rsidP="003154A5">
            <w:pPr>
              <w:spacing w:before="0" w:line="240" w:lineRule="auto"/>
              <w:jc w:val="left"/>
              <w:rPr>
                <w:sz w:val="20"/>
                <w:szCs w:val="20"/>
              </w:rPr>
            </w:pPr>
          </w:p>
        </w:tc>
        <w:tc>
          <w:tcPr>
            <w:tcW w:w="960" w:type="dxa"/>
            <w:shd w:val="clear" w:color="auto" w:fill="auto"/>
            <w:noWrap/>
            <w:vAlign w:val="bottom"/>
            <w:hideMark/>
          </w:tcPr>
          <w:p w:rsidR="003154A5" w:rsidRPr="009603EF" w:rsidRDefault="003154A5" w:rsidP="003154A5">
            <w:pPr>
              <w:spacing w:before="0" w:line="240" w:lineRule="auto"/>
              <w:jc w:val="left"/>
              <w:rPr>
                <w:sz w:val="20"/>
                <w:szCs w:val="20"/>
              </w:rPr>
            </w:pPr>
          </w:p>
        </w:tc>
      </w:tr>
      <w:tr w:rsidR="003154A5" w:rsidRPr="009603EF" w:rsidTr="009603EF">
        <w:trPr>
          <w:trHeight w:val="300"/>
        </w:trPr>
        <w:tc>
          <w:tcPr>
            <w:tcW w:w="1094" w:type="dxa"/>
            <w:shd w:val="clear" w:color="auto" w:fill="auto"/>
            <w:noWrap/>
            <w:vAlign w:val="bottom"/>
            <w:hideMark/>
          </w:tcPr>
          <w:p w:rsidR="003154A5" w:rsidRPr="009603EF" w:rsidRDefault="003154A5" w:rsidP="003154A5">
            <w:pPr>
              <w:spacing w:before="0" w:line="240" w:lineRule="auto"/>
              <w:jc w:val="left"/>
              <w:rPr>
                <w:sz w:val="20"/>
                <w:szCs w:val="20"/>
              </w:rPr>
            </w:pPr>
            <w:r w:rsidRPr="009603EF">
              <w:rPr>
                <w:sz w:val="20"/>
                <w:szCs w:val="20"/>
              </w:rPr>
              <w:t>No</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50,968</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55,684</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68,008</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58,188</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48,560</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43,635</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75,465</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20,420</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20,813</w:t>
            </w:r>
          </w:p>
        </w:tc>
      </w:tr>
      <w:tr w:rsidR="003154A5" w:rsidRPr="009603EF" w:rsidTr="009603EF">
        <w:trPr>
          <w:trHeight w:val="300"/>
        </w:trPr>
        <w:tc>
          <w:tcPr>
            <w:tcW w:w="1094" w:type="dxa"/>
            <w:shd w:val="clear" w:color="auto" w:fill="auto"/>
            <w:noWrap/>
            <w:vAlign w:val="bottom"/>
            <w:hideMark/>
          </w:tcPr>
          <w:p w:rsidR="003154A5" w:rsidRPr="009603EF" w:rsidRDefault="003154A5" w:rsidP="003154A5">
            <w:pPr>
              <w:spacing w:before="0" w:line="240" w:lineRule="auto"/>
              <w:jc w:val="left"/>
              <w:rPr>
                <w:sz w:val="20"/>
                <w:szCs w:val="20"/>
              </w:rPr>
            </w:pPr>
            <w:r w:rsidRPr="009603EF">
              <w:rPr>
                <w:sz w:val="20"/>
                <w:szCs w:val="20"/>
              </w:rPr>
              <w:t>Yes</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2,507</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3,488</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5,593</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5,024</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4,997</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5,252</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13,274</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3,470</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2,512</w:t>
            </w:r>
          </w:p>
        </w:tc>
      </w:tr>
      <w:tr w:rsidR="003154A5" w:rsidRPr="009603EF" w:rsidTr="009603EF">
        <w:trPr>
          <w:trHeight w:val="300"/>
        </w:trPr>
        <w:tc>
          <w:tcPr>
            <w:tcW w:w="1094" w:type="dxa"/>
            <w:shd w:val="clear" w:color="auto" w:fill="auto"/>
            <w:noWrap/>
            <w:vAlign w:val="bottom"/>
            <w:hideMark/>
          </w:tcPr>
          <w:p w:rsidR="003154A5" w:rsidRPr="009603EF" w:rsidRDefault="003154A5" w:rsidP="003154A5">
            <w:pPr>
              <w:spacing w:before="0" w:line="240" w:lineRule="auto"/>
              <w:jc w:val="right"/>
              <w:rPr>
                <w:sz w:val="20"/>
                <w:szCs w:val="20"/>
              </w:rPr>
            </w:pPr>
          </w:p>
        </w:tc>
        <w:tc>
          <w:tcPr>
            <w:tcW w:w="960" w:type="dxa"/>
            <w:shd w:val="clear" w:color="auto" w:fill="auto"/>
            <w:noWrap/>
            <w:vAlign w:val="bottom"/>
            <w:hideMark/>
          </w:tcPr>
          <w:p w:rsidR="003154A5" w:rsidRPr="009603EF" w:rsidRDefault="003154A5" w:rsidP="003154A5">
            <w:pPr>
              <w:spacing w:before="0" w:line="240" w:lineRule="auto"/>
              <w:jc w:val="left"/>
              <w:rPr>
                <w:sz w:val="20"/>
                <w:szCs w:val="20"/>
              </w:rPr>
            </w:pPr>
          </w:p>
        </w:tc>
        <w:tc>
          <w:tcPr>
            <w:tcW w:w="960" w:type="dxa"/>
            <w:shd w:val="clear" w:color="auto" w:fill="auto"/>
            <w:noWrap/>
            <w:vAlign w:val="bottom"/>
            <w:hideMark/>
          </w:tcPr>
          <w:p w:rsidR="003154A5" w:rsidRPr="009603EF" w:rsidRDefault="003154A5" w:rsidP="003154A5">
            <w:pPr>
              <w:spacing w:before="0" w:line="240" w:lineRule="auto"/>
              <w:jc w:val="left"/>
              <w:rPr>
                <w:sz w:val="20"/>
                <w:szCs w:val="20"/>
              </w:rPr>
            </w:pPr>
          </w:p>
        </w:tc>
        <w:tc>
          <w:tcPr>
            <w:tcW w:w="960" w:type="dxa"/>
            <w:shd w:val="clear" w:color="auto" w:fill="auto"/>
            <w:noWrap/>
            <w:vAlign w:val="bottom"/>
            <w:hideMark/>
          </w:tcPr>
          <w:p w:rsidR="003154A5" w:rsidRPr="009603EF" w:rsidRDefault="003154A5" w:rsidP="003154A5">
            <w:pPr>
              <w:spacing w:before="0" w:line="240" w:lineRule="auto"/>
              <w:jc w:val="left"/>
              <w:rPr>
                <w:sz w:val="20"/>
                <w:szCs w:val="20"/>
              </w:rPr>
            </w:pPr>
          </w:p>
        </w:tc>
        <w:tc>
          <w:tcPr>
            <w:tcW w:w="960" w:type="dxa"/>
            <w:shd w:val="clear" w:color="auto" w:fill="auto"/>
            <w:noWrap/>
            <w:vAlign w:val="bottom"/>
            <w:hideMark/>
          </w:tcPr>
          <w:p w:rsidR="003154A5" w:rsidRPr="009603EF" w:rsidRDefault="003154A5" w:rsidP="003154A5">
            <w:pPr>
              <w:spacing w:before="0" w:line="240" w:lineRule="auto"/>
              <w:jc w:val="left"/>
              <w:rPr>
                <w:sz w:val="20"/>
                <w:szCs w:val="20"/>
              </w:rPr>
            </w:pPr>
          </w:p>
        </w:tc>
        <w:tc>
          <w:tcPr>
            <w:tcW w:w="960" w:type="dxa"/>
            <w:shd w:val="clear" w:color="auto" w:fill="auto"/>
            <w:noWrap/>
            <w:vAlign w:val="bottom"/>
            <w:hideMark/>
          </w:tcPr>
          <w:p w:rsidR="003154A5" w:rsidRPr="009603EF" w:rsidRDefault="003154A5" w:rsidP="003154A5">
            <w:pPr>
              <w:spacing w:before="0" w:line="240" w:lineRule="auto"/>
              <w:jc w:val="left"/>
              <w:rPr>
                <w:sz w:val="20"/>
                <w:szCs w:val="20"/>
              </w:rPr>
            </w:pPr>
          </w:p>
        </w:tc>
        <w:tc>
          <w:tcPr>
            <w:tcW w:w="960" w:type="dxa"/>
            <w:shd w:val="clear" w:color="auto" w:fill="auto"/>
            <w:noWrap/>
            <w:vAlign w:val="bottom"/>
            <w:hideMark/>
          </w:tcPr>
          <w:p w:rsidR="003154A5" w:rsidRPr="009603EF" w:rsidRDefault="003154A5" w:rsidP="003154A5">
            <w:pPr>
              <w:spacing w:before="0" w:line="240" w:lineRule="auto"/>
              <w:jc w:val="left"/>
              <w:rPr>
                <w:sz w:val="20"/>
                <w:szCs w:val="20"/>
              </w:rPr>
            </w:pPr>
          </w:p>
        </w:tc>
        <w:tc>
          <w:tcPr>
            <w:tcW w:w="960" w:type="dxa"/>
            <w:shd w:val="clear" w:color="auto" w:fill="auto"/>
            <w:noWrap/>
            <w:vAlign w:val="bottom"/>
            <w:hideMark/>
          </w:tcPr>
          <w:p w:rsidR="003154A5" w:rsidRPr="009603EF" w:rsidRDefault="003154A5" w:rsidP="003154A5">
            <w:pPr>
              <w:spacing w:before="0" w:line="240" w:lineRule="auto"/>
              <w:jc w:val="left"/>
              <w:rPr>
                <w:sz w:val="20"/>
                <w:szCs w:val="20"/>
              </w:rPr>
            </w:pPr>
          </w:p>
        </w:tc>
        <w:tc>
          <w:tcPr>
            <w:tcW w:w="960" w:type="dxa"/>
            <w:shd w:val="clear" w:color="auto" w:fill="auto"/>
            <w:noWrap/>
            <w:vAlign w:val="bottom"/>
            <w:hideMark/>
          </w:tcPr>
          <w:p w:rsidR="003154A5" w:rsidRPr="009603EF" w:rsidRDefault="003154A5" w:rsidP="003154A5">
            <w:pPr>
              <w:spacing w:before="0" w:line="240" w:lineRule="auto"/>
              <w:jc w:val="left"/>
              <w:rPr>
                <w:sz w:val="20"/>
                <w:szCs w:val="20"/>
              </w:rPr>
            </w:pPr>
          </w:p>
        </w:tc>
        <w:tc>
          <w:tcPr>
            <w:tcW w:w="960" w:type="dxa"/>
            <w:shd w:val="clear" w:color="auto" w:fill="auto"/>
            <w:noWrap/>
            <w:vAlign w:val="bottom"/>
            <w:hideMark/>
          </w:tcPr>
          <w:p w:rsidR="003154A5" w:rsidRPr="009603EF" w:rsidRDefault="003154A5" w:rsidP="003154A5">
            <w:pPr>
              <w:spacing w:before="0" w:line="240" w:lineRule="auto"/>
              <w:jc w:val="left"/>
              <w:rPr>
                <w:sz w:val="20"/>
                <w:szCs w:val="20"/>
              </w:rPr>
            </w:pPr>
          </w:p>
        </w:tc>
      </w:tr>
      <w:tr w:rsidR="003154A5" w:rsidRPr="009603EF" w:rsidTr="009603EF">
        <w:trPr>
          <w:trHeight w:val="300"/>
        </w:trPr>
        <w:tc>
          <w:tcPr>
            <w:tcW w:w="1094" w:type="dxa"/>
            <w:shd w:val="clear" w:color="auto" w:fill="auto"/>
            <w:noWrap/>
            <w:vAlign w:val="bottom"/>
            <w:hideMark/>
          </w:tcPr>
          <w:p w:rsidR="003154A5" w:rsidRPr="009603EF" w:rsidRDefault="003154A5" w:rsidP="003154A5">
            <w:pPr>
              <w:spacing w:before="0" w:line="240" w:lineRule="auto"/>
              <w:jc w:val="left"/>
              <w:rPr>
                <w:sz w:val="20"/>
                <w:szCs w:val="20"/>
              </w:rPr>
            </w:pPr>
            <w:r w:rsidRPr="009603EF">
              <w:rPr>
                <w:sz w:val="20"/>
                <w:szCs w:val="20"/>
              </w:rPr>
              <w:t>Total</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53,475</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59,172</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73,601</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63,212</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53,557</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48,887</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88,739</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23,890</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23,325</w:t>
            </w:r>
          </w:p>
        </w:tc>
      </w:tr>
      <w:tr w:rsidR="003154A5" w:rsidRPr="009603EF" w:rsidTr="009603EF">
        <w:trPr>
          <w:trHeight w:val="300"/>
        </w:trPr>
        <w:tc>
          <w:tcPr>
            <w:tcW w:w="1094" w:type="dxa"/>
            <w:shd w:val="clear" w:color="auto" w:fill="auto"/>
            <w:noWrap/>
            <w:vAlign w:val="bottom"/>
            <w:hideMark/>
          </w:tcPr>
          <w:p w:rsidR="003154A5" w:rsidRPr="009603EF" w:rsidRDefault="003154A5" w:rsidP="003154A5">
            <w:pPr>
              <w:spacing w:before="0" w:line="240" w:lineRule="auto"/>
              <w:jc w:val="right"/>
              <w:rPr>
                <w:sz w:val="20"/>
                <w:szCs w:val="20"/>
              </w:rPr>
            </w:pPr>
          </w:p>
        </w:tc>
        <w:tc>
          <w:tcPr>
            <w:tcW w:w="960" w:type="dxa"/>
            <w:shd w:val="clear" w:color="auto" w:fill="auto"/>
            <w:noWrap/>
            <w:vAlign w:val="bottom"/>
            <w:hideMark/>
          </w:tcPr>
          <w:p w:rsidR="003154A5" w:rsidRPr="009603EF" w:rsidRDefault="003154A5" w:rsidP="003154A5">
            <w:pPr>
              <w:spacing w:before="0" w:line="240" w:lineRule="auto"/>
              <w:jc w:val="left"/>
              <w:rPr>
                <w:sz w:val="20"/>
                <w:szCs w:val="20"/>
              </w:rPr>
            </w:pPr>
          </w:p>
        </w:tc>
        <w:tc>
          <w:tcPr>
            <w:tcW w:w="960" w:type="dxa"/>
            <w:shd w:val="clear" w:color="auto" w:fill="auto"/>
            <w:noWrap/>
            <w:vAlign w:val="bottom"/>
            <w:hideMark/>
          </w:tcPr>
          <w:p w:rsidR="003154A5" w:rsidRPr="009603EF" w:rsidRDefault="003154A5" w:rsidP="003154A5">
            <w:pPr>
              <w:spacing w:before="0" w:line="240" w:lineRule="auto"/>
              <w:jc w:val="left"/>
              <w:rPr>
                <w:sz w:val="20"/>
                <w:szCs w:val="20"/>
              </w:rPr>
            </w:pPr>
          </w:p>
        </w:tc>
        <w:tc>
          <w:tcPr>
            <w:tcW w:w="960" w:type="dxa"/>
            <w:shd w:val="clear" w:color="auto" w:fill="auto"/>
            <w:noWrap/>
            <w:vAlign w:val="bottom"/>
            <w:hideMark/>
          </w:tcPr>
          <w:p w:rsidR="003154A5" w:rsidRPr="009603EF" w:rsidRDefault="003154A5" w:rsidP="003154A5">
            <w:pPr>
              <w:spacing w:before="0" w:line="240" w:lineRule="auto"/>
              <w:jc w:val="left"/>
              <w:rPr>
                <w:sz w:val="20"/>
                <w:szCs w:val="20"/>
              </w:rPr>
            </w:pPr>
          </w:p>
        </w:tc>
        <w:tc>
          <w:tcPr>
            <w:tcW w:w="960" w:type="dxa"/>
            <w:shd w:val="clear" w:color="auto" w:fill="auto"/>
            <w:noWrap/>
            <w:vAlign w:val="bottom"/>
            <w:hideMark/>
          </w:tcPr>
          <w:p w:rsidR="003154A5" w:rsidRPr="009603EF" w:rsidRDefault="003154A5" w:rsidP="003154A5">
            <w:pPr>
              <w:spacing w:before="0" w:line="240" w:lineRule="auto"/>
              <w:jc w:val="left"/>
              <w:rPr>
                <w:sz w:val="20"/>
                <w:szCs w:val="20"/>
              </w:rPr>
            </w:pPr>
          </w:p>
        </w:tc>
        <w:tc>
          <w:tcPr>
            <w:tcW w:w="960" w:type="dxa"/>
            <w:shd w:val="clear" w:color="auto" w:fill="auto"/>
            <w:noWrap/>
            <w:vAlign w:val="bottom"/>
            <w:hideMark/>
          </w:tcPr>
          <w:p w:rsidR="003154A5" w:rsidRPr="009603EF" w:rsidRDefault="003154A5" w:rsidP="003154A5">
            <w:pPr>
              <w:spacing w:before="0" w:line="240" w:lineRule="auto"/>
              <w:jc w:val="left"/>
              <w:rPr>
                <w:sz w:val="20"/>
                <w:szCs w:val="20"/>
              </w:rPr>
            </w:pPr>
          </w:p>
        </w:tc>
        <w:tc>
          <w:tcPr>
            <w:tcW w:w="960" w:type="dxa"/>
            <w:shd w:val="clear" w:color="auto" w:fill="auto"/>
            <w:noWrap/>
            <w:vAlign w:val="bottom"/>
            <w:hideMark/>
          </w:tcPr>
          <w:p w:rsidR="003154A5" w:rsidRPr="009603EF" w:rsidRDefault="003154A5" w:rsidP="003154A5">
            <w:pPr>
              <w:spacing w:before="0" w:line="240" w:lineRule="auto"/>
              <w:jc w:val="left"/>
              <w:rPr>
                <w:sz w:val="20"/>
                <w:szCs w:val="20"/>
              </w:rPr>
            </w:pPr>
          </w:p>
        </w:tc>
        <w:tc>
          <w:tcPr>
            <w:tcW w:w="960" w:type="dxa"/>
            <w:shd w:val="clear" w:color="auto" w:fill="auto"/>
            <w:noWrap/>
            <w:vAlign w:val="bottom"/>
            <w:hideMark/>
          </w:tcPr>
          <w:p w:rsidR="003154A5" w:rsidRPr="009603EF" w:rsidRDefault="003154A5" w:rsidP="003154A5">
            <w:pPr>
              <w:spacing w:before="0" w:line="240" w:lineRule="auto"/>
              <w:jc w:val="left"/>
              <w:rPr>
                <w:sz w:val="20"/>
                <w:szCs w:val="20"/>
              </w:rPr>
            </w:pPr>
          </w:p>
        </w:tc>
        <w:tc>
          <w:tcPr>
            <w:tcW w:w="960" w:type="dxa"/>
            <w:shd w:val="clear" w:color="auto" w:fill="auto"/>
            <w:noWrap/>
            <w:vAlign w:val="bottom"/>
            <w:hideMark/>
          </w:tcPr>
          <w:p w:rsidR="003154A5" w:rsidRPr="009603EF" w:rsidRDefault="003154A5" w:rsidP="003154A5">
            <w:pPr>
              <w:spacing w:before="0" w:line="240" w:lineRule="auto"/>
              <w:jc w:val="left"/>
              <w:rPr>
                <w:sz w:val="20"/>
                <w:szCs w:val="20"/>
              </w:rPr>
            </w:pPr>
          </w:p>
        </w:tc>
        <w:tc>
          <w:tcPr>
            <w:tcW w:w="960" w:type="dxa"/>
            <w:shd w:val="clear" w:color="auto" w:fill="auto"/>
            <w:noWrap/>
            <w:vAlign w:val="bottom"/>
            <w:hideMark/>
          </w:tcPr>
          <w:p w:rsidR="003154A5" w:rsidRPr="009603EF" w:rsidRDefault="003154A5" w:rsidP="003154A5">
            <w:pPr>
              <w:spacing w:before="0" w:line="240" w:lineRule="auto"/>
              <w:jc w:val="left"/>
              <w:rPr>
                <w:sz w:val="20"/>
                <w:szCs w:val="20"/>
              </w:rPr>
            </w:pPr>
          </w:p>
        </w:tc>
      </w:tr>
      <w:tr w:rsidR="003154A5" w:rsidRPr="009603EF" w:rsidTr="009603EF">
        <w:trPr>
          <w:trHeight w:val="300"/>
        </w:trPr>
        <w:tc>
          <w:tcPr>
            <w:tcW w:w="1094" w:type="dxa"/>
            <w:shd w:val="clear" w:color="auto" w:fill="auto"/>
            <w:noWrap/>
            <w:vAlign w:val="bottom"/>
            <w:hideMark/>
          </w:tcPr>
          <w:p w:rsidR="003154A5" w:rsidRPr="009603EF" w:rsidRDefault="00AA7203" w:rsidP="003154A5">
            <w:pPr>
              <w:spacing w:before="0" w:line="240" w:lineRule="auto"/>
              <w:jc w:val="left"/>
              <w:rPr>
                <w:sz w:val="20"/>
                <w:szCs w:val="20"/>
              </w:rPr>
            </w:pPr>
            <w:r w:rsidRPr="009603EF">
              <w:rPr>
                <w:sz w:val="20"/>
                <w:szCs w:val="20"/>
              </w:rPr>
              <w:t>Percentage</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2014</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2015</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2016</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2017</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2018</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2019</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2020</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2021</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2022</w:t>
            </w:r>
          </w:p>
        </w:tc>
      </w:tr>
      <w:tr w:rsidR="003154A5" w:rsidRPr="009603EF" w:rsidTr="009603EF">
        <w:trPr>
          <w:trHeight w:val="300"/>
        </w:trPr>
        <w:tc>
          <w:tcPr>
            <w:tcW w:w="1094" w:type="dxa"/>
            <w:shd w:val="clear" w:color="auto" w:fill="auto"/>
            <w:noWrap/>
            <w:vAlign w:val="bottom"/>
            <w:hideMark/>
          </w:tcPr>
          <w:p w:rsidR="003154A5" w:rsidRPr="009603EF" w:rsidRDefault="003154A5" w:rsidP="003154A5">
            <w:pPr>
              <w:spacing w:before="0" w:line="240" w:lineRule="auto"/>
              <w:jc w:val="left"/>
              <w:rPr>
                <w:sz w:val="20"/>
                <w:szCs w:val="20"/>
              </w:rPr>
            </w:pPr>
            <w:r w:rsidRPr="009603EF">
              <w:rPr>
                <w:sz w:val="20"/>
                <w:szCs w:val="20"/>
              </w:rPr>
              <w:t>No</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95.3</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94.1</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92.4</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92.1</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90.7</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89.3</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85.0</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85.5</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89.2</w:t>
            </w:r>
          </w:p>
        </w:tc>
      </w:tr>
      <w:tr w:rsidR="003154A5" w:rsidRPr="009603EF" w:rsidTr="009603EF">
        <w:trPr>
          <w:trHeight w:val="300"/>
        </w:trPr>
        <w:tc>
          <w:tcPr>
            <w:tcW w:w="1094" w:type="dxa"/>
            <w:shd w:val="clear" w:color="auto" w:fill="auto"/>
            <w:noWrap/>
            <w:vAlign w:val="bottom"/>
            <w:hideMark/>
          </w:tcPr>
          <w:p w:rsidR="003154A5" w:rsidRPr="009603EF" w:rsidRDefault="003154A5" w:rsidP="003154A5">
            <w:pPr>
              <w:spacing w:before="0" w:line="240" w:lineRule="auto"/>
              <w:jc w:val="left"/>
              <w:rPr>
                <w:sz w:val="20"/>
                <w:szCs w:val="20"/>
              </w:rPr>
            </w:pPr>
            <w:r w:rsidRPr="009603EF">
              <w:rPr>
                <w:sz w:val="20"/>
                <w:szCs w:val="20"/>
              </w:rPr>
              <w:t>Yes</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4.7</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5.9</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7.6</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7.9</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9.3</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10.7</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15.0</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14.5</w:t>
            </w:r>
          </w:p>
        </w:tc>
        <w:tc>
          <w:tcPr>
            <w:tcW w:w="960" w:type="dxa"/>
            <w:shd w:val="clear" w:color="auto" w:fill="auto"/>
            <w:noWrap/>
            <w:vAlign w:val="bottom"/>
            <w:hideMark/>
          </w:tcPr>
          <w:p w:rsidR="003154A5" w:rsidRPr="009603EF" w:rsidRDefault="003154A5" w:rsidP="003154A5">
            <w:pPr>
              <w:spacing w:before="0" w:line="240" w:lineRule="auto"/>
              <w:jc w:val="right"/>
              <w:rPr>
                <w:sz w:val="20"/>
                <w:szCs w:val="20"/>
              </w:rPr>
            </w:pPr>
            <w:r w:rsidRPr="009603EF">
              <w:rPr>
                <w:sz w:val="20"/>
                <w:szCs w:val="20"/>
              </w:rPr>
              <w:t>10.8</w:t>
            </w:r>
          </w:p>
        </w:tc>
      </w:tr>
    </w:tbl>
    <w:p w:rsidR="003154A5" w:rsidRPr="009603EF" w:rsidRDefault="00D5384C" w:rsidP="00614936">
      <w:pPr>
        <w:autoSpaceDE w:val="0"/>
        <w:autoSpaceDN w:val="0"/>
        <w:adjustRightInd w:val="0"/>
        <w:spacing w:before="0"/>
        <w:jc w:val="left"/>
        <w:rPr>
          <w:sz w:val="20"/>
          <w:szCs w:val="20"/>
        </w:rPr>
      </w:pPr>
      <w:r w:rsidRPr="009603EF">
        <w:rPr>
          <w:sz w:val="20"/>
          <w:szCs w:val="20"/>
        </w:rPr>
        <w:t xml:space="preserve">Source: Global Drug Survey  </w:t>
      </w:r>
    </w:p>
    <w:p w:rsidR="003154A5" w:rsidRDefault="003154A5" w:rsidP="00614936">
      <w:pPr>
        <w:autoSpaceDE w:val="0"/>
        <w:autoSpaceDN w:val="0"/>
        <w:adjustRightInd w:val="0"/>
        <w:spacing w:before="0"/>
        <w:jc w:val="left"/>
        <w:rPr>
          <w:rFonts w:ascii="Calibri" w:hAnsi="Calibri" w:cs="Calibri"/>
        </w:rPr>
      </w:pPr>
    </w:p>
    <w:p w:rsidR="00D5384C" w:rsidRPr="009603EF" w:rsidRDefault="00D5384C" w:rsidP="00614936">
      <w:pPr>
        <w:autoSpaceDE w:val="0"/>
        <w:autoSpaceDN w:val="0"/>
        <w:adjustRightInd w:val="0"/>
        <w:spacing w:before="0"/>
        <w:jc w:val="left"/>
      </w:pPr>
      <w:r w:rsidRPr="009603EF">
        <w:t xml:space="preserve">In addition to reporting the raw data as they were, UNODC also calculated a population weighted average as the numbers of persons participating in this survey differed strongly from country to country, with a strong bias e.g. for participants from Germany and relatively low numbers for participants from the United States.  Even though this resulted in some changes </w:t>
      </w:r>
      <w:r w:rsidR="008C0401" w:rsidRPr="009603EF">
        <w:t xml:space="preserve">regarding </w:t>
      </w:r>
      <w:r w:rsidRPr="009603EF">
        <w:t>the peak</w:t>
      </w:r>
      <w:r w:rsidR="008C0401" w:rsidRPr="009603EF">
        <w:t xml:space="preserve"> year</w:t>
      </w:r>
      <w:r w:rsidRPr="009603EF">
        <w:t xml:space="preserve">, both indicators </w:t>
      </w:r>
      <w:r w:rsidR="008C0401" w:rsidRPr="009603EF">
        <w:t xml:space="preserve">basically </w:t>
      </w:r>
      <w:r w:rsidRPr="009603EF">
        <w:t>showed a clear upward tr</w:t>
      </w:r>
      <w:r w:rsidR="008C0401" w:rsidRPr="009603EF">
        <w:t>e</w:t>
      </w:r>
      <w:r w:rsidRPr="009603EF">
        <w:t>nd over the period 2014-2020</w:t>
      </w:r>
      <w:r w:rsidR="008C0401" w:rsidRPr="009603EF">
        <w:t xml:space="preserve">, followed by </w:t>
      </w:r>
      <w:r w:rsidRPr="009603EF">
        <w:t>a decline</w:t>
      </w:r>
      <w:r w:rsidR="008C0401" w:rsidRPr="009603EF">
        <w:t xml:space="preserve"> over the period January 2021 to January 2022 to levels found prior to the outbreak of the COVID-19 pandemic.  </w:t>
      </w:r>
      <w:r w:rsidRPr="009603EF">
        <w:t xml:space="preserve">  </w:t>
      </w:r>
    </w:p>
    <w:p w:rsidR="00D5384C" w:rsidRPr="009603EF" w:rsidRDefault="00D5384C" w:rsidP="00614936">
      <w:pPr>
        <w:autoSpaceDE w:val="0"/>
        <w:autoSpaceDN w:val="0"/>
        <w:adjustRightInd w:val="0"/>
        <w:spacing w:before="0"/>
        <w:jc w:val="left"/>
      </w:pPr>
    </w:p>
    <w:p w:rsidR="008C0401" w:rsidRDefault="008C0401" w:rsidP="00614936">
      <w:pPr>
        <w:autoSpaceDE w:val="0"/>
        <w:autoSpaceDN w:val="0"/>
        <w:adjustRightInd w:val="0"/>
        <w:spacing w:before="0"/>
        <w:jc w:val="left"/>
      </w:pPr>
      <w:r w:rsidRPr="009603EF">
        <w:t xml:space="preserve">For the calculation of the population weighted average the problem of missing data was also explicitly addressed, using a similar approach as in other parts of this report. It was assumed that (i) </w:t>
      </w:r>
      <w:r w:rsidR="00442463" w:rsidRPr="009603EF">
        <w:t xml:space="preserve">the proportions </w:t>
      </w:r>
      <w:r w:rsidRPr="009603EF">
        <w:t>gradually increased or dec</w:t>
      </w:r>
      <w:r w:rsidR="00442463" w:rsidRPr="009603EF">
        <w:t>r</w:t>
      </w:r>
      <w:r w:rsidRPr="009603EF">
        <w:t xml:space="preserve">eased between two data points (using Excel growth function) and that (ii) data remained unchanged from the last time they were reported for a country. Not included in the calculation of the overall average were the data for the Russian Federation as in this case only two data points existed and the survey had never been translated into the Russian language, thus creating a bias for a small subset of the population which was using drugs, the darknet and which was fluent in English. </w:t>
      </w:r>
    </w:p>
    <w:p w:rsidR="0065054D" w:rsidRDefault="0065054D" w:rsidP="00614936">
      <w:pPr>
        <w:autoSpaceDE w:val="0"/>
        <w:autoSpaceDN w:val="0"/>
        <w:adjustRightInd w:val="0"/>
        <w:spacing w:before="0"/>
        <w:jc w:val="left"/>
      </w:pPr>
    </w:p>
    <w:p w:rsidR="0065054D" w:rsidRPr="009603EF" w:rsidRDefault="0065054D" w:rsidP="00614936">
      <w:pPr>
        <w:autoSpaceDE w:val="0"/>
        <w:autoSpaceDN w:val="0"/>
        <w:adjustRightInd w:val="0"/>
        <w:spacing w:before="0"/>
        <w:jc w:val="left"/>
      </w:pPr>
    </w:p>
    <w:p w:rsidR="00442463" w:rsidRDefault="00AA7203" w:rsidP="009603EF">
      <w:pPr>
        <w:autoSpaceDE w:val="0"/>
        <w:autoSpaceDN w:val="0"/>
        <w:adjustRightInd w:val="0"/>
        <w:spacing w:before="0" w:line="240" w:lineRule="auto"/>
        <w:jc w:val="left"/>
        <w:rPr>
          <w:rFonts w:ascii="Calibri" w:hAnsi="Calibri" w:cs="Calibri"/>
          <w:b/>
          <w:bCs/>
        </w:rPr>
      </w:pPr>
      <w:r w:rsidRPr="009603EF">
        <w:rPr>
          <w:b/>
          <w:bCs/>
        </w:rPr>
        <w:t>Figure:</w:t>
      </w:r>
      <w:r w:rsidRPr="009603EF">
        <w:rPr>
          <w:rFonts w:ascii="Calibri" w:hAnsi="Calibri" w:cs="Calibri"/>
          <w:b/>
          <w:bCs/>
        </w:rPr>
        <w:t xml:space="preserve"> </w:t>
      </w:r>
      <w:r w:rsidR="00442463" w:rsidRPr="009603EF">
        <w:rPr>
          <w:rFonts w:ascii="Calibri" w:hAnsi="Calibri" w:cs="Calibri"/>
          <w:b/>
          <w:bCs/>
        </w:rPr>
        <w:t> </w:t>
      </w:r>
      <w:r w:rsidR="00442463" w:rsidRPr="009603EF">
        <w:rPr>
          <w:b/>
          <w:bCs/>
        </w:rPr>
        <w:t>Proportion of people purchasing drugs over the dark web among surveyed Internet users who used drugs in the past year,  January 2014 to January 2022 (or latest year available)</w:t>
      </w:r>
    </w:p>
    <w:p w:rsidR="008C0401" w:rsidRDefault="00165DE8" w:rsidP="009603EF">
      <w:pPr>
        <w:autoSpaceDE w:val="0"/>
        <w:autoSpaceDN w:val="0"/>
        <w:adjustRightInd w:val="0"/>
        <w:spacing w:before="0"/>
        <w:jc w:val="center"/>
        <w:rPr>
          <w:rFonts w:ascii="Calibri" w:hAnsi="Calibri" w:cs="Calibri"/>
        </w:rPr>
      </w:pPr>
      <w:r>
        <w:rPr>
          <w:noProof/>
          <w:lang w:val="en-US" w:eastAsia="zh-CN"/>
        </w:rPr>
        <w:lastRenderedPageBreak/>
        <w:drawing>
          <wp:inline distT="0" distB="0" distL="0" distR="0">
            <wp:extent cx="3190875" cy="2550795"/>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C0401" w:rsidRPr="009603EF" w:rsidRDefault="00442463" w:rsidP="009603EF">
      <w:pPr>
        <w:autoSpaceDE w:val="0"/>
        <w:autoSpaceDN w:val="0"/>
        <w:adjustRightInd w:val="0"/>
        <w:spacing w:before="0"/>
        <w:ind w:left="1440" w:firstLine="720"/>
        <w:jc w:val="left"/>
        <w:rPr>
          <w:rFonts w:ascii="Calibri" w:hAnsi="Calibri" w:cs="Calibri"/>
          <w:sz w:val="18"/>
          <w:szCs w:val="18"/>
        </w:rPr>
      </w:pPr>
      <w:r w:rsidRPr="009603EF">
        <w:rPr>
          <w:rFonts w:ascii="Calibri" w:hAnsi="Calibri" w:cs="Calibri"/>
          <w:sz w:val="18"/>
          <w:szCs w:val="18"/>
        </w:rPr>
        <w:t>Source: UNODC calculations based on Global Drug Survey.</w:t>
      </w:r>
    </w:p>
    <w:p w:rsidR="00442463" w:rsidRPr="009603EF" w:rsidRDefault="008C0401" w:rsidP="00442463">
      <w:pPr>
        <w:autoSpaceDE w:val="0"/>
        <w:autoSpaceDN w:val="0"/>
        <w:adjustRightInd w:val="0"/>
        <w:spacing w:before="0"/>
        <w:jc w:val="left"/>
      </w:pPr>
      <w:r>
        <w:rPr>
          <w:rFonts w:ascii="Calibri" w:hAnsi="Calibri" w:cs="Calibri"/>
        </w:rPr>
        <w:t xml:space="preserve"> </w:t>
      </w:r>
      <w:r w:rsidR="00442463" w:rsidRPr="009603EF">
        <w:t xml:space="preserve">A population weighted average, with missing data addressed, was also used for the regional averages. </w:t>
      </w:r>
    </w:p>
    <w:p w:rsidR="00442463" w:rsidRPr="009603EF" w:rsidRDefault="00AA7203" w:rsidP="009603EF">
      <w:pPr>
        <w:autoSpaceDE w:val="0"/>
        <w:autoSpaceDN w:val="0"/>
        <w:adjustRightInd w:val="0"/>
        <w:spacing w:before="0" w:line="240" w:lineRule="auto"/>
        <w:jc w:val="left"/>
        <w:rPr>
          <w:rFonts w:ascii="Calibri" w:hAnsi="Calibri" w:cs="Calibri"/>
          <w:b/>
          <w:bCs/>
          <w:sz w:val="22"/>
          <w:szCs w:val="22"/>
        </w:rPr>
      </w:pPr>
      <w:r w:rsidRPr="009603EF">
        <w:rPr>
          <w:b/>
          <w:bCs/>
        </w:rPr>
        <w:t xml:space="preserve">Figure: </w:t>
      </w:r>
      <w:r w:rsidR="00442463" w:rsidRPr="009603EF">
        <w:rPr>
          <w:b/>
          <w:bCs/>
        </w:rPr>
        <w:t>Proportion of people purchasing drugs over the dark web among surveyed Internet users who used drugs in the past year, selected regions and subregions, 2014-2022</w:t>
      </w:r>
    </w:p>
    <w:p w:rsidR="00442463" w:rsidRDefault="00165DE8" w:rsidP="009603EF">
      <w:pPr>
        <w:autoSpaceDE w:val="0"/>
        <w:autoSpaceDN w:val="0"/>
        <w:adjustRightInd w:val="0"/>
        <w:spacing w:before="0"/>
        <w:jc w:val="center"/>
        <w:rPr>
          <w:noProof/>
        </w:rPr>
      </w:pPr>
      <w:r>
        <w:rPr>
          <w:noProof/>
          <w:lang w:val="en-US" w:eastAsia="zh-CN"/>
        </w:rPr>
        <w:drawing>
          <wp:inline distT="0" distB="0" distL="0" distR="0">
            <wp:extent cx="4019550" cy="243840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42463" w:rsidRDefault="00442463" w:rsidP="009603EF">
      <w:pPr>
        <w:autoSpaceDE w:val="0"/>
        <w:autoSpaceDN w:val="0"/>
        <w:adjustRightInd w:val="0"/>
        <w:spacing w:before="0"/>
        <w:ind w:left="720" w:firstLine="720"/>
        <w:jc w:val="left"/>
        <w:rPr>
          <w:rFonts w:ascii="Calibri" w:hAnsi="Calibri" w:cs="Calibri"/>
        </w:rPr>
      </w:pPr>
      <w:r w:rsidRPr="00A25DBC">
        <w:rPr>
          <w:rFonts w:ascii="Calibri" w:hAnsi="Calibri" w:cs="Calibri"/>
          <w:sz w:val="18"/>
          <w:szCs w:val="18"/>
        </w:rPr>
        <w:t>Source: UNODC calculations based on Global Drug Survey</w:t>
      </w:r>
    </w:p>
    <w:p w:rsidR="00116A92" w:rsidRPr="0092693B" w:rsidRDefault="00116A92" w:rsidP="009603EF">
      <w:pPr>
        <w:pStyle w:val="1"/>
      </w:pPr>
    </w:p>
    <w:sectPr w:rsidR="00116A92" w:rsidRPr="0092693B" w:rsidSect="009603EF">
      <w:footerReference w:type="default" r:id="rId42"/>
      <w:pgSz w:w="11907" w:h="16840" w:code="9"/>
      <w:pgMar w:top="1699" w:right="1440" w:bottom="1440" w:left="1440" w:header="706" w:footer="70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5C7" w:rsidRDefault="001245C7" w:rsidP="00F16E68">
      <w:r>
        <w:separator/>
      </w:r>
    </w:p>
  </w:endnote>
  <w:endnote w:type="continuationSeparator" w:id="0">
    <w:p w:rsidR="001245C7" w:rsidRDefault="001245C7" w:rsidP="00F16E68">
      <w:r>
        <w:continuationSeparator/>
      </w:r>
    </w:p>
  </w:endnote>
  <w:endnote w:type="continuationNotice" w:id="1">
    <w:p w:rsidR="001245C7" w:rsidRDefault="001245C7">
      <w:pPr>
        <w:spacing w:before="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 w:name="FJGLA O+ Shaker 2 Lance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 Sans">
    <w:charset w:val="00"/>
    <w:family w:val="swiss"/>
    <w:pitch w:val="variable"/>
    <w:sig w:usb0="E00002EF" w:usb1="4000205B" w:usb2="00000028" w:usb3="00000000" w:csb0="0000019F" w:csb1="00000000"/>
  </w:font>
  <w:font w:name="Helvetica Neue">
    <w:altName w:val="Sylfaen"/>
    <w:charset w:val="00"/>
    <w:family w:val="auto"/>
    <w:pitch w:val="variable"/>
    <w:sig w:usb0="E50002FF" w:usb1="500079DB" w:usb2="00000010" w:usb3="00000000" w:csb0="00000001"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libri Light">
    <w:altName w:val="Arial"/>
    <w:charset w:val="00"/>
    <w:family w:val="swiss"/>
    <w:pitch w:val="variable"/>
    <w:sig w:usb0="00000000"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Frutiger 45">
    <w:altName w:val="Calibri"/>
    <w:panose1 w:val="00000000000000000000"/>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32D" w:rsidRDefault="0052732D" w:rsidP="009603EF">
    <w:pPr>
      <w:pStyle w:val="af"/>
    </w:pPr>
  </w:p>
  <w:p w:rsidR="0052732D" w:rsidRDefault="0052732D" w:rsidP="009603E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68" w:rsidRDefault="00E32DAC" w:rsidP="009603EF">
    <w:pPr>
      <w:pStyle w:val="af"/>
    </w:pPr>
    <w:r>
      <w:fldChar w:fldCharType="begin"/>
    </w:r>
    <w:r w:rsidR="00F16E68">
      <w:instrText xml:space="preserve"> PAGE   \* MERGEFORMAT </w:instrText>
    </w:r>
    <w:r>
      <w:fldChar w:fldCharType="separate"/>
    </w:r>
    <w:r w:rsidR="00797955">
      <w:rPr>
        <w:noProof/>
      </w:rPr>
      <w:t>84</w:t>
    </w:r>
    <w:r>
      <w:rPr>
        <w:noProof/>
      </w:rPr>
      <w:fldChar w:fldCharType="end"/>
    </w:r>
  </w:p>
  <w:p w:rsidR="00F16E68" w:rsidRDefault="00F16E68" w:rsidP="00F16E6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5C7" w:rsidRDefault="001245C7" w:rsidP="00F16E68">
      <w:r>
        <w:separator/>
      </w:r>
    </w:p>
  </w:footnote>
  <w:footnote w:type="continuationSeparator" w:id="0">
    <w:p w:rsidR="001245C7" w:rsidRDefault="001245C7" w:rsidP="00F16E68">
      <w:r>
        <w:continuationSeparator/>
      </w:r>
    </w:p>
  </w:footnote>
  <w:footnote w:type="continuationNotice" w:id="1">
    <w:p w:rsidR="001245C7" w:rsidRDefault="001245C7">
      <w:pPr>
        <w:spacing w:before="0" w:line="240" w:lineRule="auto"/>
      </w:pPr>
    </w:p>
  </w:footnote>
  <w:footnote w:id="2">
    <w:p w:rsidR="00897A85" w:rsidRDefault="00897A85" w:rsidP="00F16E68">
      <w:pPr>
        <w:pStyle w:val="a3"/>
      </w:pPr>
      <w:r>
        <w:rPr>
          <w:rStyle w:val="a4"/>
        </w:rPr>
        <w:footnoteRef/>
      </w:r>
      <w:r>
        <w:t xml:space="preserve"> The current version of the ARQ can be accessed through this </w:t>
      </w:r>
      <w:hyperlink r:id="rId1" w:history="1">
        <w:r w:rsidRPr="00897A85">
          <w:rPr>
            <w:rStyle w:val="a9"/>
          </w:rPr>
          <w:t>link</w:t>
        </w:r>
      </w:hyperlink>
      <w:r>
        <w:t xml:space="preserve">: </w:t>
      </w:r>
    </w:p>
  </w:footnote>
  <w:footnote w:id="3">
    <w:p w:rsidR="001835F3" w:rsidRPr="001835F3" w:rsidRDefault="001835F3">
      <w:pPr>
        <w:pStyle w:val="a3"/>
      </w:pPr>
      <w:r>
        <w:rPr>
          <w:rStyle w:val="a4"/>
        </w:rPr>
        <w:footnoteRef/>
      </w:r>
      <w:r w:rsidRPr="001835F3">
        <w:t xml:space="preserve"> </w:t>
      </w:r>
      <w:r w:rsidRPr="009603EF">
        <w:t xml:space="preserve">The target </w:t>
      </w:r>
      <w:r>
        <w:t>for general population estimates is the 15-64 population, while for youth estimates it corresponds to the 15-16 population.</w:t>
      </w:r>
    </w:p>
  </w:footnote>
  <w:footnote w:id="4">
    <w:p w:rsidR="0052732D" w:rsidRPr="0036585D" w:rsidRDefault="0052732D" w:rsidP="00F16E68">
      <w:pPr>
        <w:pStyle w:val="a3"/>
        <w:rPr>
          <w:lang w:val="es-ES"/>
        </w:rPr>
      </w:pPr>
      <w:r>
        <w:rPr>
          <w:rStyle w:val="a4"/>
        </w:rPr>
        <w:footnoteRef/>
      </w:r>
      <w:r w:rsidRPr="0036585D">
        <w:rPr>
          <w:lang w:val="es-ES"/>
        </w:rPr>
        <w:t xml:space="preserve">  Gobierno Nacional de la República de Colombia, Estudio Nacional de Consumo de Sustancias Psicoactivas en Colombia – 2013</w:t>
      </w:r>
      <w:r w:rsidRPr="0092693B">
        <w:rPr>
          <w:lang w:val="es-ES"/>
        </w:rPr>
        <w:t>.</w:t>
      </w:r>
    </w:p>
  </w:footnote>
  <w:footnote w:id="5">
    <w:p w:rsidR="0052732D" w:rsidRPr="0092693B" w:rsidRDefault="0052732D" w:rsidP="00F16E68">
      <w:pPr>
        <w:pStyle w:val="a3"/>
      </w:pPr>
      <w:r w:rsidRPr="0092693B">
        <w:rPr>
          <w:rStyle w:val="a4"/>
        </w:rPr>
        <w:footnoteRef/>
      </w:r>
      <w:r w:rsidRPr="0092693B">
        <w:t xml:space="preserve">  UNODC, Drug Use in Pakistan 2013.</w:t>
      </w:r>
    </w:p>
  </w:footnote>
  <w:footnote w:id="6">
    <w:p w:rsidR="0052732D" w:rsidRPr="0036585D" w:rsidRDefault="0052732D" w:rsidP="00F16E68">
      <w:r w:rsidRPr="0036585D">
        <w:rPr>
          <w:rStyle w:val="a4"/>
          <w:sz w:val="20"/>
          <w:szCs w:val="20"/>
        </w:rPr>
        <w:footnoteRef/>
      </w:r>
      <w:r w:rsidRPr="0036585D">
        <w:t xml:space="preserve"> Data query engine at </w:t>
      </w:r>
      <w:hyperlink r:id="rId2" w:history="1">
        <w:r w:rsidRPr="0036585D">
          <w:rPr>
            <w:rStyle w:val="a9"/>
            <w:sz w:val="20"/>
            <w:szCs w:val="20"/>
          </w:rPr>
          <w:t>http://pdas.samhsa.gov/</w:t>
        </w:r>
      </w:hyperlink>
      <w:r w:rsidRPr="0036585D">
        <w:t xml:space="preserve"> and Substance Abuse and Mental Health Services Administration, Results from the 2015 National  Survey on Drug and Health: Detailed Tables.</w:t>
      </w:r>
    </w:p>
    <w:p w:rsidR="0052732D" w:rsidRPr="0092693B" w:rsidRDefault="0052732D" w:rsidP="00F16E68">
      <w:pPr>
        <w:pStyle w:val="a3"/>
      </w:pPr>
    </w:p>
  </w:footnote>
  <w:footnote w:id="7">
    <w:p w:rsidR="00EB69C8" w:rsidRDefault="00EB69C8" w:rsidP="00F16E68">
      <w:pPr>
        <w:pStyle w:val="a3"/>
      </w:pPr>
      <w:r>
        <w:rPr>
          <w:rStyle w:val="a4"/>
        </w:rPr>
        <w:footnoteRef/>
      </w:r>
      <w:r>
        <w:t xml:space="preserve"> </w:t>
      </w:r>
      <w:r w:rsidR="00E32DAC">
        <w:fldChar w:fldCharType="begin"/>
      </w:r>
      <w:r>
        <w:instrText xml:space="preserve"> ADDIN ZOTERO_ITEM CSL_CITATION {"citationID":"BRhIa21H","properties":{"formattedCitation":"UNODC, {\\i{}World Drug Report 2018, Booklet 4, Drugs and Age: Drugs and Associated Issues among Young People and Older People.} (United Nations publication, 2018).","plainCitation":"UNODC, World Drug Report 2018, Booklet 4, Drugs and Age: Drugs and Associated Issues among Young People and Older People. (United Nations publication, 2018).","noteIndex":5},"citationItems":[{"id":85,"uris":["http://zotero.org/users/8950587/items/QH9RMIYT"],"itemData":{"id":85,"type":"book","publisher":"United Nations publication","title":"World Drug Report 2018, booklet 4, Drugs and Age: Drugs and Associated Issues among Young People and Older People.","author":[{"literal":"UNODC"}],"issued":{"date-parts":[["2018"]]}}}],"schema":"https://github.com/citation-style-language/schema/raw/master/csl-citation.json"} </w:instrText>
      </w:r>
      <w:r w:rsidR="00E32DAC">
        <w:fldChar w:fldCharType="separate"/>
      </w:r>
      <w:r w:rsidRPr="00EB69C8">
        <w:rPr>
          <w:szCs w:val="24"/>
        </w:rPr>
        <w:t xml:space="preserve">UNODC, </w:t>
      </w:r>
      <w:r w:rsidRPr="00EB69C8">
        <w:rPr>
          <w:i/>
          <w:iCs/>
          <w:szCs w:val="24"/>
        </w:rPr>
        <w:t>World Drug Report 2018, Booklet 4, Drugs and Age: Drugs and Associated Issues among Young People and Older People.</w:t>
      </w:r>
      <w:r w:rsidRPr="00EB69C8">
        <w:rPr>
          <w:szCs w:val="24"/>
        </w:rPr>
        <w:t xml:space="preserve"> (United Nations publication, 2018).</w:t>
      </w:r>
      <w:r w:rsidR="00E32DAC">
        <w:fldChar w:fldCharType="end"/>
      </w:r>
    </w:p>
  </w:footnote>
  <w:footnote w:id="8">
    <w:p w:rsidR="0052732D" w:rsidRPr="0073760D" w:rsidRDefault="0052732D" w:rsidP="00F16E68">
      <w:pPr>
        <w:pStyle w:val="a3"/>
      </w:pPr>
      <w:r w:rsidRPr="0073760D">
        <w:rPr>
          <w:rStyle w:val="a4"/>
          <w:sz w:val="18"/>
          <w:szCs w:val="18"/>
        </w:rPr>
        <w:footnoteRef/>
      </w:r>
      <w:r w:rsidRPr="004B6C86">
        <w:t xml:space="preserve"> Mathers, B., L. Degenhardt, et al. </w:t>
      </w:r>
      <w:r>
        <w:t xml:space="preserve">(2008). </w:t>
      </w:r>
      <w:r w:rsidRPr="0073760D">
        <w:t>Global epidemiology of injecting drug use and HIV among people who inj</w:t>
      </w:r>
      <w:r>
        <w:t>ect drugs: a systematic review.</w:t>
      </w:r>
      <w:r w:rsidRPr="0073760D">
        <w:t xml:space="preserve"> </w:t>
      </w:r>
      <w:r w:rsidRPr="006A63A4">
        <w:rPr>
          <w:i/>
        </w:rPr>
        <w:t>The Lancet</w:t>
      </w:r>
      <w:r w:rsidRPr="0073760D">
        <w:t xml:space="preserve"> 372(9651): 1733-1745</w:t>
      </w:r>
    </w:p>
  </w:footnote>
  <w:footnote w:id="9">
    <w:p w:rsidR="003A53D8" w:rsidRDefault="003A53D8" w:rsidP="003A53D8">
      <w:r>
        <w:rPr>
          <w:rStyle w:val="a4"/>
        </w:rPr>
        <w:footnoteRef/>
      </w:r>
      <w:r>
        <w:t xml:space="preserve"> </w:t>
      </w:r>
      <w:r w:rsidRPr="009603EF">
        <w:rPr>
          <w:sz w:val="18"/>
          <w:szCs w:val="18"/>
        </w:rPr>
        <w:t>UNODC calculations based on wastewater data provided by Sewage Analysis CORe group Europe (SCORE).</w:t>
      </w:r>
    </w:p>
  </w:footnote>
  <w:footnote w:id="10">
    <w:p w:rsidR="000042A9" w:rsidRDefault="000042A9" w:rsidP="000042A9">
      <w:r>
        <w:rPr>
          <w:rStyle w:val="a4"/>
        </w:rPr>
        <w:footnoteRef/>
      </w:r>
      <w:r>
        <w:t xml:space="preserve"> </w:t>
      </w:r>
      <w:r>
        <w:rPr>
          <w:sz w:val="18"/>
          <w:szCs w:val="18"/>
        </w:rPr>
        <w:t>UNODC calculations based on wastewater data provided by Sewage Analysis CORe group Europe (SCORE).</w:t>
      </w:r>
    </w:p>
  </w:footnote>
  <w:footnote w:id="11">
    <w:p w:rsidR="003A53D8" w:rsidRDefault="003A53D8" w:rsidP="003A53D8">
      <w:r>
        <w:rPr>
          <w:rStyle w:val="a4"/>
        </w:rPr>
        <w:footnoteRef/>
      </w:r>
      <w:r>
        <w:t xml:space="preserve"> </w:t>
      </w:r>
      <w:r>
        <w:rPr>
          <w:sz w:val="18"/>
          <w:szCs w:val="18"/>
        </w:rPr>
        <w:t xml:space="preserve">UNODC calculations based on wastewater data provided by Sewage Analysis CORe group Europe (SCORE) and United Nations, Department of Economic and Social Affairs, Population Division (2019). </w:t>
      </w:r>
      <w:r>
        <w:rPr>
          <w:i/>
          <w:iCs/>
          <w:sz w:val="18"/>
          <w:szCs w:val="18"/>
        </w:rPr>
        <w:t>World Population Prospects 2019</w:t>
      </w:r>
      <w:r>
        <w:rPr>
          <w:sz w:val="18"/>
          <w:szCs w:val="18"/>
        </w:rPr>
        <w:t xml:space="preserve">, Online Edition. Rev. 1. </w:t>
      </w:r>
    </w:p>
  </w:footnote>
  <w:footnote w:id="12">
    <w:p w:rsidR="006E7CCB" w:rsidRPr="003E3FC5" w:rsidRDefault="006E7CCB" w:rsidP="00F16E68">
      <w:pPr>
        <w:pStyle w:val="a3"/>
      </w:pPr>
      <w:r w:rsidRPr="003E3FC5">
        <w:rPr>
          <w:vertAlign w:val="superscript"/>
        </w:rPr>
        <w:footnoteRef/>
      </w:r>
      <w:r w:rsidRPr="003E3FC5">
        <w:rPr>
          <w:vertAlign w:val="superscript"/>
        </w:rPr>
        <w:t xml:space="preserve"> </w:t>
      </w:r>
      <w:r w:rsidRPr="003E3FC5">
        <w:t xml:space="preserve">More information about the methodology used to obtain the population-standardized values can be found at: </w:t>
      </w:r>
      <w:hyperlink r:id="rId3" w:history="1">
        <w:r w:rsidRPr="009603EF">
          <w:t>https://score-network.eu/monitoring/</w:t>
        </w:r>
      </w:hyperlink>
      <w:r w:rsidRPr="003E3FC5">
        <w:t xml:space="preserve"> and the graphical presentation of data by city is published under https://www.emcdda.europa.eu/publications/html/pods/waste-water-analysis_en</w:t>
      </w:r>
    </w:p>
  </w:footnote>
  <w:footnote w:id="13">
    <w:p w:rsidR="0052732D" w:rsidRPr="0085745A" w:rsidRDefault="0052732D" w:rsidP="00F16E68">
      <w:pPr>
        <w:pStyle w:val="a3"/>
      </w:pPr>
      <w:r>
        <w:rPr>
          <w:rStyle w:val="a4"/>
        </w:rPr>
        <w:footnoteRef/>
      </w:r>
      <w:r>
        <w:t xml:space="preserve"> </w:t>
      </w:r>
      <w:r w:rsidRPr="008F2B1B">
        <w:t>UNODC, A Century of International Drug Control, 2009</w:t>
      </w:r>
      <w:r>
        <w:t xml:space="preserve">), based on data reported by the </w:t>
      </w:r>
      <w:r w:rsidRPr="001E3DF7">
        <w:t>International Opium Commission</w:t>
      </w:r>
      <w:r>
        <w:t xml:space="preserve"> </w:t>
      </w:r>
      <w:r w:rsidRPr="001E3DF7">
        <w:t>(Report of the International Opium Commission, Shanghai, China</w:t>
      </w:r>
      <w:r>
        <w:t>)</w:t>
      </w:r>
      <w:r w:rsidRPr="001E3DF7">
        <w:t>, Feb. 1909</w:t>
      </w:r>
      <w:r>
        <w:t>.</w:t>
      </w:r>
    </w:p>
  </w:footnote>
  <w:footnote w:id="14">
    <w:p w:rsidR="0052732D" w:rsidRPr="00DB4549" w:rsidRDefault="0052732D" w:rsidP="00F16E68">
      <w:pPr>
        <w:pStyle w:val="a3"/>
      </w:pPr>
      <w:r>
        <w:rPr>
          <w:rStyle w:val="a4"/>
        </w:rPr>
        <w:footnoteRef/>
      </w:r>
      <w:r>
        <w:t xml:space="preserve"> </w:t>
      </w:r>
      <w:r w:rsidRPr="008F2B1B">
        <w:t>UNODC, A Century of International Drug Control, 2009</w:t>
      </w:r>
      <w:r>
        <w:t>.</w:t>
      </w:r>
    </w:p>
  </w:footnote>
  <w:footnote w:id="15">
    <w:p w:rsidR="0052732D" w:rsidRPr="00B4414D" w:rsidRDefault="0052732D" w:rsidP="00F16E68">
      <w:pPr>
        <w:pStyle w:val="a3"/>
      </w:pPr>
      <w:r>
        <w:rPr>
          <w:rStyle w:val="a4"/>
        </w:rPr>
        <w:footnoteRef/>
      </w:r>
      <w:r>
        <w:t xml:space="preserve"> Plant disease and pests are not considered here as their impact is likely to be captured in the coca leaf yield estimates.</w:t>
      </w:r>
    </w:p>
  </w:footnote>
  <w:footnote w:id="16">
    <w:p w:rsidR="0052732D" w:rsidRPr="00B51597" w:rsidRDefault="0052732D" w:rsidP="00F16E68">
      <w:pPr>
        <w:pStyle w:val="a3"/>
      </w:pPr>
      <w:r>
        <w:rPr>
          <w:rStyle w:val="a4"/>
        </w:rPr>
        <w:footnoteRef/>
      </w:r>
      <w:r>
        <w:t xml:space="preserve"> See World Drug Report 2011, p. 262.</w:t>
      </w:r>
    </w:p>
  </w:footnote>
  <w:footnote w:id="17">
    <w:p w:rsidR="0052732D" w:rsidRDefault="0052732D" w:rsidP="00F16E68">
      <w:pPr>
        <w:pStyle w:val="a3"/>
      </w:pPr>
      <w:r>
        <w:rPr>
          <w:rStyle w:val="a4"/>
        </w:rPr>
        <w:footnoteRef/>
      </w:r>
      <w:r>
        <w:t xml:space="preserve"> Personal communication, 2010, from Alcaliber company. </w:t>
      </w:r>
    </w:p>
  </w:footnote>
  <w:footnote w:id="18">
    <w:p w:rsidR="0052732D" w:rsidRPr="00972D8E" w:rsidRDefault="0052732D" w:rsidP="00F16E68">
      <w:pPr>
        <w:pStyle w:val="a3"/>
        <w:rPr>
          <w:lang w:val="de-DE"/>
        </w:rPr>
      </w:pPr>
      <w:r>
        <w:rPr>
          <w:rStyle w:val="a4"/>
        </w:rPr>
        <w:footnoteRef/>
      </w:r>
      <w:r w:rsidRPr="00972D8E">
        <w:t xml:space="preserve"> </w:t>
      </w:r>
      <w:r>
        <w:t xml:space="preserve">Personal communication, 2010, see also Loewe, A. (2010). Remote Sensing based Monitoring of Opium Cultivation in Afghanistan. </w:t>
      </w:r>
      <w:r w:rsidRPr="00660AA1">
        <w:rPr>
          <w:u w:val="single"/>
          <w:lang w:val="de-DE"/>
        </w:rPr>
        <w:t>Philosophische Fakultaet</w:t>
      </w:r>
      <w:r w:rsidRPr="00660AA1">
        <w:rPr>
          <w:lang w:val="de-DE"/>
        </w:rPr>
        <w:t>. Bonn, Rheinische Friedrich-Wilhelms-Universitaet</w:t>
      </w:r>
      <w:r w:rsidRPr="00660AA1">
        <w:rPr>
          <w:b/>
          <w:bCs/>
          <w:lang w:val="de-DE"/>
        </w:rPr>
        <w:t xml:space="preserve">: </w:t>
      </w:r>
      <w:r w:rsidRPr="00660AA1">
        <w:rPr>
          <w:lang w:val="de-DE"/>
        </w:rPr>
        <w:t xml:space="preserve">106. </w:t>
      </w:r>
    </w:p>
  </w:footnote>
  <w:footnote w:id="19">
    <w:p w:rsidR="0052732D" w:rsidRPr="00660AA1" w:rsidRDefault="0052732D" w:rsidP="009603EF">
      <w:r>
        <w:rPr>
          <w:rStyle w:val="a4"/>
        </w:rPr>
        <w:footnoteRef/>
      </w:r>
      <w:r w:rsidRPr="003A1C55">
        <w:rPr>
          <w:lang w:val="de-DE"/>
        </w:rPr>
        <w:t xml:space="preserve"> </w:t>
      </w:r>
      <w:r w:rsidRPr="00660AA1">
        <w:rPr>
          <w:lang w:val="de-DE"/>
        </w:rPr>
        <w:t>Acock, M. C., R. C. P</w:t>
      </w:r>
      <w:r>
        <w:rPr>
          <w:lang w:val="de-DE"/>
        </w:rPr>
        <w:t>ausch</w:t>
      </w:r>
      <w:r w:rsidRPr="00660AA1">
        <w:rPr>
          <w:lang w:val="de-DE"/>
        </w:rPr>
        <w:t xml:space="preserve">, et al. </w:t>
      </w:r>
      <w:r w:rsidRPr="00660AA1">
        <w:t xml:space="preserve">(1997). “Growth and development of opium poppy (Papaver Somniferum L.) as a function of temperature.” </w:t>
      </w:r>
      <w:r w:rsidRPr="00660AA1">
        <w:rPr>
          <w:u w:val="single"/>
        </w:rPr>
        <w:t>Biotronics</w:t>
      </w:r>
      <w:r w:rsidRPr="00660AA1">
        <w:t xml:space="preserve"> </w:t>
      </w:r>
      <w:r w:rsidRPr="00660AA1">
        <w:rPr>
          <w:b/>
          <w:bCs/>
        </w:rPr>
        <w:t>26</w:t>
      </w:r>
      <w:r w:rsidRPr="00660AA1">
        <w:t>: 47-57.</w:t>
      </w:r>
    </w:p>
    <w:p w:rsidR="0052732D" w:rsidRDefault="0052732D" w:rsidP="00F16E68">
      <w:pPr>
        <w:pStyle w:val="a3"/>
      </w:pPr>
    </w:p>
  </w:footnote>
  <w:footnote w:id="20">
    <w:p w:rsidR="00A031FC" w:rsidRPr="008C299B" w:rsidRDefault="00A031FC" w:rsidP="00A031FC">
      <w:pPr>
        <w:pStyle w:val="a3"/>
      </w:pPr>
      <w:r>
        <w:rPr>
          <w:rStyle w:val="a4"/>
        </w:rPr>
        <w:footnoteRef/>
      </w:r>
      <w:r>
        <w:t xml:space="preserve"> </w:t>
      </w:r>
      <w:r w:rsidRPr="00B070D1">
        <w:t xml:space="preserve">Further information on the methodology of opium and </w:t>
      </w:r>
      <w:r>
        <w:t>coca</w:t>
      </w:r>
      <w:r w:rsidRPr="00B070D1">
        <w:t xml:space="preserve"> leaf yield surveys conducted by UNODC can be found in United Nations (2001): </w:t>
      </w:r>
      <w:r w:rsidRPr="00134BA7">
        <w:rPr>
          <w:i/>
        </w:rPr>
        <w:t>Guidelines for Yield Assessment of Opium Gum and Coca Leaf from Brief Field Visits</w:t>
      </w:r>
      <w:r>
        <w:t>,</w:t>
      </w:r>
      <w:r w:rsidRPr="00B070D1">
        <w:t xml:space="preserve"> New York (ST/NAR/33).</w:t>
      </w:r>
    </w:p>
  </w:footnote>
  <w:footnote w:id="21">
    <w:p w:rsidR="0052732D" w:rsidRPr="005717AA" w:rsidRDefault="0052732D" w:rsidP="00F16E68">
      <w:pPr>
        <w:pStyle w:val="a3"/>
      </w:pPr>
      <w:r>
        <w:rPr>
          <w:rStyle w:val="a4"/>
        </w:rPr>
        <w:footnoteRef/>
      </w:r>
      <w:r>
        <w:t xml:space="preserve"> More information on the results of the methodology used can be found in the report on coca cultivation in Colombia for 2013 (UNODC/ Government of Colombia, June 2014) available on the internet at http://www.unodc.org/unodc/en/crop-monitoring/index.html.</w:t>
      </w:r>
    </w:p>
  </w:footnote>
  <w:footnote w:id="22">
    <w:p w:rsidR="0052732D" w:rsidRPr="00DA54C6" w:rsidRDefault="0052732D" w:rsidP="00F16E68">
      <w:pPr>
        <w:pStyle w:val="a3"/>
      </w:pPr>
      <w:r>
        <w:rPr>
          <w:rStyle w:val="a4"/>
        </w:rPr>
        <w:footnoteRef/>
      </w:r>
      <w:r>
        <w:t xml:space="preserve"> In  2013 a correction factor was applied for the time that fields in Peru were productive during the year, however this approach was abolished as of 2014 due to incomplete eradication data. More information about the 2013 calculation to be found at page 73 of the Peru coca cultivation survey report for 2013 available on the internet at http://www.unodc.org/unodc/en/crop-monitoring/index.html.</w:t>
      </w:r>
    </w:p>
  </w:footnote>
  <w:footnote w:id="23">
    <w:p w:rsidR="0052732D" w:rsidRPr="00F1154C" w:rsidRDefault="0052732D" w:rsidP="00F16E68">
      <w:pPr>
        <w:pStyle w:val="a3"/>
      </w:pPr>
      <w:r>
        <w:rPr>
          <w:rStyle w:val="a4"/>
        </w:rPr>
        <w:footnoteRef/>
      </w:r>
      <w:r>
        <w:t xml:space="preserve"> More detailed information on the ongoing review of conversion factors was presented in the 2010 </w:t>
      </w:r>
      <w:r w:rsidRPr="0085676D">
        <w:rPr>
          <w:i/>
        </w:rPr>
        <w:t>World Drug Report</w:t>
      </w:r>
      <w:r>
        <w:t>, p.251 ff.</w:t>
      </w:r>
    </w:p>
  </w:footnote>
  <w:footnote w:id="24">
    <w:p w:rsidR="0052732D" w:rsidRPr="0085676D" w:rsidRDefault="0052732D" w:rsidP="00F16E68">
      <w:pPr>
        <w:pStyle w:val="a3"/>
      </w:pPr>
      <w:r>
        <w:rPr>
          <w:rStyle w:val="a4"/>
        </w:rPr>
        <w:footnoteRef/>
      </w:r>
      <w:r>
        <w:t xml:space="preserve"> For greater detail on studies with cannabis farmers, see: UNODC, </w:t>
      </w:r>
      <w:r w:rsidRPr="0085676D">
        <w:rPr>
          <w:i/>
        </w:rPr>
        <w:t>Enquête sur le cannabis au Maroc 2005</w:t>
      </w:r>
      <w:r w:rsidRPr="0085676D">
        <w:t>, Vienna, 2007.</w:t>
      </w:r>
    </w:p>
  </w:footnote>
  <w:footnote w:id="25">
    <w:p w:rsidR="0052732D" w:rsidRDefault="0052732D" w:rsidP="00A64F4D">
      <w:pPr>
        <w:pStyle w:val="a3"/>
        <w:jc w:val="left"/>
      </w:pPr>
      <w:r>
        <w:rPr>
          <w:rStyle w:val="a4"/>
        </w:rPr>
        <w:footnoteRef/>
      </w:r>
      <w:r>
        <w:t xml:space="preserve"> More information on the results of the two approaches and the methodology used can be found in annex 3 of the report on coca cultivation in Colombia for 2013 (UNODC/ Government of Colombia, June 2014) available on the internet at </w:t>
      </w:r>
      <w:hyperlink r:id="rId4" w:history="1">
        <w:r w:rsidRPr="00500F6A">
          <w:rPr>
            <w:rStyle w:val="a9"/>
          </w:rPr>
          <w:t>http://www.unodc.org/unodc/en/crop-monitoring/index.html</w:t>
        </w:r>
      </w:hyperlink>
      <w:r>
        <w:t xml:space="preserve"> and in UNODC and Gobierno de Colombia, </w:t>
      </w:r>
      <w:r w:rsidRPr="006A63A4">
        <w:rPr>
          <w:i/>
        </w:rPr>
        <w:t>Colombia, Monitoreo de territorios afectados por cultivos ilícitos 2015</w:t>
      </w:r>
      <w:r>
        <w:t>, July 2016, available at:</w:t>
      </w:r>
      <w:r w:rsidRPr="00291405">
        <w:t xml:space="preserve"> </w:t>
      </w:r>
      <w:hyperlink r:id="rId5" w:history="1">
        <w:r w:rsidR="00A64F4D" w:rsidRPr="00A64F4D">
          <w:rPr>
            <w:rStyle w:val="a9"/>
          </w:rPr>
          <w:t>CENSO 2105mx.pdf (unodc.org)</w:t>
        </w:r>
      </w:hyperlink>
    </w:p>
    <w:p w:rsidR="00F00F74" w:rsidRPr="00880729" w:rsidRDefault="00F00F74" w:rsidP="00F16E68">
      <w:pPr>
        <w:pStyle w:val="a3"/>
      </w:pPr>
    </w:p>
  </w:footnote>
  <w:footnote w:id="26">
    <w:p w:rsidR="0052732D" w:rsidRPr="004B6C86" w:rsidRDefault="0052732D" w:rsidP="00F16E68">
      <w:pPr>
        <w:pStyle w:val="a3"/>
      </w:pPr>
      <w:r>
        <w:rPr>
          <w:rStyle w:val="a4"/>
        </w:rPr>
        <w:footnoteRef/>
      </w:r>
      <w:r w:rsidRPr="004B6C86">
        <w:t xml:space="preserve"> INCB, Psychotropic Substances 2019 (New York 2020).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32D" w:rsidRDefault="00165DE8" w:rsidP="00F16E68">
    <w:pPr>
      <w:pStyle w:val="ae"/>
    </w:pPr>
    <w:r>
      <w:rPr>
        <w:noProof/>
        <w:lang w:val="en-US" w:eastAsia="zh-CN"/>
      </w:rPr>
      <w:drawing>
        <wp:anchor distT="0" distB="0" distL="114300" distR="114300" simplePos="0" relativeHeight="251658240" behindDoc="0" locked="0" layoutInCell="1" allowOverlap="1">
          <wp:simplePos x="0" y="0"/>
          <wp:positionH relativeFrom="margin">
            <wp:posOffset>-28575</wp:posOffset>
          </wp:positionH>
          <wp:positionV relativeFrom="paragraph">
            <wp:posOffset>-75565</wp:posOffset>
          </wp:positionV>
          <wp:extent cx="2839085" cy="5143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9085" cy="514350"/>
                  </a:xfrm>
                  <a:prstGeom prst="rect">
                    <a:avLst/>
                  </a:prstGeom>
                  <a:noFill/>
                </pic:spPr>
              </pic:pic>
            </a:graphicData>
          </a:graphic>
        </wp:anchor>
      </w:drawing>
    </w:r>
  </w:p>
  <w:p w:rsidR="0052732D" w:rsidRDefault="0052732D" w:rsidP="00F16E6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32D" w:rsidRDefault="00165DE8" w:rsidP="00F16E68">
    <w:pPr>
      <w:pStyle w:val="ae"/>
    </w:pPr>
    <w:r>
      <w:rPr>
        <w:noProof/>
        <w:lang w:val="en-US" w:eastAsia="zh-CN"/>
      </w:rPr>
      <w:drawing>
        <wp:anchor distT="0" distB="0" distL="114300" distR="114300" simplePos="0" relativeHeight="251658241" behindDoc="0" locked="0" layoutInCell="1" allowOverlap="1">
          <wp:simplePos x="0" y="0"/>
          <wp:positionH relativeFrom="margin">
            <wp:posOffset>123825</wp:posOffset>
          </wp:positionH>
          <wp:positionV relativeFrom="paragraph">
            <wp:posOffset>76835</wp:posOffset>
          </wp:positionV>
          <wp:extent cx="2839085" cy="514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9085" cy="5143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6.25pt;height:12.75pt;visibility:visible" o:bullet="t">
        <v:imagedata r:id="rId1" o:title=""/>
      </v:shape>
    </w:pict>
  </w:numPicBullet>
  <w:numPicBullet w:numPicBulletId="1">
    <w:pict>
      <v:shape id="_x0000_i1029" type="#_x0000_t75" style="width:27pt;height:9.75pt;visibility:visible;mso-wrap-style:square" o:bullet="t">
        <v:imagedata r:id="rId2" o:title=""/>
      </v:shape>
    </w:pict>
  </w:numPicBullet>
  <w:abstractNum w:abstractNumId="0">
    <w:nsid w:val="0DBD41FA"/>
    <w:multiLevelType w:val="hybridMultilevel"/>
    <w:tmpl w:val="DB44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3B741E"/>
    <w:multiLevelType w:val="hybridMultilevel"/>
    <w:tmpl w:val="5CB618AA"/>
    <w:lvl w:ilvl="0" w:tplc="1FCE8D48">
      <w:start w:val="1"/>
      <w:numFmt w:val="decimal"/>
      <w:pStyle w:val="Figure"/>
      <w:lvlText w:val="Fig. %1."/>
      <w:lvlJc w:val="left"/>
      <w:pPr>
        <w:ind w:left="2160" w:hanging="360"/>
      </w:pPr>
      <w:rPr>
        <w:rFonts w:hint="default"/>
        <w:sz w:val="24"/>
        <w:szCs w:val="24"/>
        <w:vertAlign w:val="baselin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16DF1918"/>
    <w:multiLevelType w:val="hybridMultilevel"/>
    <w:tmpl w:val="E000100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043041"/>
    <w:multiLevelType w:val="hybridMultilevel"/>
    <w:tmpl w:val="B170A5D4"/>
    <w:lvl w:ilvl="0" w:tplc="B8D2EE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3D3EC2"/>
    <w:multiLevelType w:val="hybridMultilevel"/>
    <w:tmpl w:val="EB4456A2"/>
    <w:lvl w:ilvl="0" w:tplc="D57EE8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0447C8"/>
    <w:multiLevelType w:val="hybridMultilevel"/>
    <w:tmpl w:val="62DE3A76"/>
    <w:lvl w:ilvl="0" w:tplc="2A2405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74631D"/>
    <w:multiLevelType w:val="hybridMultilevel"/>
    <w:tmpl w:val="FC560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735653B"/>
    <w:multiLevelType w:val="hybridMultilevel"/>
    <w:tmpl w:val="560A1994"/>
    <w:lvl w:ilvl="0" w:tplc="3A44BD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CE806CA"/>
    <w:multiLevelType w:val="hybridMultilevel"/>
    <w:tmpl w:val="393288A2"/>
    <w:lvl w:ilvl="0" w:tplc="AB4E41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0E5FF8"/>
    <w:multiLevelType w:val="hybridMultilevel"/>
    <w:tmpl w:val="83E8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326064"/>
    <w:multiLevelType w:val="hybridMultilevel"/>
    <w:tmpl w:val="4DFC2D14"/>
    <w:lvl w:ilvl="0" w:tplc="56C2E388">
      <w:start w:val="1"/>
      <w:numFmt w:val="bullet"/>
      <w:pStyle w:val="Bullets"/>
      <w:lvlText w:val=""/>
      <w:lvlJc w:val="left"/>
      <w:pPr>
        <w:tabs>
          <w:tab w:val="num" w:pos="851"/>
        </w:tabs>
        <w:ind w:left="851" w:hanging="39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
    <w:nsid w:val="32EE0778"/>
    <w:multiLevelType w:val="hybridMultilevel"/>
    <w:tmpl w:val="DD4AF7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DBB7E01"/>
    <w:multiLevelType w:val="hybridMultilevel"/>
    <w:tmpl w:val="7764D708"/>
    <w:lvl w:ilvl="0" w:tplc="1E28596E">
      <w:start w:val="1"/>
      <w:numFmt w:val="bullet"/>
      <w:lvlText w:val=""/>
      <w:lvlJc w:val="left"/>
      <w:pPr>
        <w:tabs>
          <w:tab w:val="num" w:pos="360"/>
        </w:tabs>
        <w:ind w:left="360" w:hanging="360"/>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F76514"/>
    <w:multiLevelType w:val="hybridMultilevel"/>
    <w:tmpl w:val="E5FCA660"/>
    <w:lvl w:ilvl="0" w:tplc="486A5A30">
      <w:start w:val="1"/>
      <w:numFmt w:val="bullet"/>
      <w:lvlText w:val=" "/>
      <w:lvlJc w:val="left"/>
      <w:pPr>
        <w:tabs>
          <w:tab w:val="num" w:pos="720"/>
        </w:tabs>
        <w:ind w:left="720" w:hanging="360"/>
      </w:pPr>
      <w:rPr>
        <w:rFonts w:ascii="Calibri" w:hAnsi="Calibri" w:hint="default"/>
      </w:rPr>
    </w:lvl>
    <w:lvl w:ilvl="1" w:tplc="3A0E8F0A" w:tentative="1">
      <w:start w:val="1"/>
      <w:numFmt w:val="bullet"/>
      <w:lvlText w:val=" "/>
      <w:lvlJc w:val="left"/>
      <w:pPr>
        <w:tabs>
          <w:tab w:val="num" w:pos="1440"/>
        </w:tabs>
        <w:ind w:left="1440" w:hanging="360"/>
      </w:pPr>
      <w:rPr>
        <w:rFonts w:ascii="Calibri" w:hAnsi="Calibri" w:hint="default"/>
      </w:rPr>
    </w:lvl>
    <w:lvl w:ilvl="2" w:tplc="E1681688" w:tentative="1">
      <w:start w:val="1"/>
      <w:numFmt w:val="bullet"/>
      <w:lvlText w:val=" "/>
      <w:lvlJc w:val="left"/>
      <w:pPr>
        <w:tabs>
          <w:tab w:val="num" w:pos="2160"/>
        </w:tabs>
        <w:ind w:left="2160" w:hanging="360"/>
      </w:pPr>
      <w:rPr>
        <w:rFonts w:ascii="Calibri" w:hAnsi="Calibri" w:hint="default"/>
      </w:rPr>
    </w:lvl>
    <w:lvl w:ilvl="3" w:tplc="C03061A0" w:tentative="1">
      <w:start w:val="1"/>
      <w:numFmt w:val="bullet"/>
      <w:lvlText w:val=" "/>
      <w:lvlJc w:val="left"/>
      <w:pPr>
        <w:tabs>
          <w:tab w:val="num" w:pos="2880"/>
        </w:tabs>
        <w:ind w:left="2880" w:hanging="360"/>
      </w:pPr>
      <w:rPr>
        <w:rFonts w:ascii="Calibri" w:hAnsi="Calibri" w:hint="default"/>
      </w:rPr>
    </w:lvl>
    <w:lvl w:ilvl="4" w:tplc="C8CCDBD0" w:tentative="1">
      <w:start w:val="1"/>
      <w:numFmt w:val="bullet"/>
      <w:lvlText w:val=" "/>
      <w:lvlJc w:val="left"/>
      <w:pPr>
        <w:tabs>
          <w:tab w:val="num" w:pos="3600"/>
        </w:tabs>
        <w:ind w:left="3600" w:hanging="360"/>
      </w:pPr>
      <w:rPr>
        <w:rFonts w:ascii="Calibri" w:hAnsi="Calibri" w:hint="default"/>
      </w:rPr>
    </w:lvl>
    <w:lvl w:ilvl="5" w:tplc="67A82878" w:tentative="1">
      <w:start w:val="1"/>
      <w:numFmt w:val="bullet"/>
      <w:lvlText w:val=" "/>
      <w:lvlJc w:val="left"/>
      <w:pPr>
        <w:tabs>
          <w:tab w:val="num" w:pos="4320"/>
        </w:tabs>
        <w:ind w:left="4320" w:hanging="360"/>
      </w:pPr>
      <w:rPr>
        <w:rFonts w:ascii="Calibri" w:hAnsi="Calibri" w:hint="default"/>
      </w:rPr>
    </w:lvl>
    <w:lvl w:ilvl="6" w:tplc="DBEEC876" w:tentative="1">
      <w:start w:val="1"/>
      <w:numFmt w:val="bullet"/>
      <w:lvlText w:val=" "/>
      <w:lvlJc w:val="left"/>
      <w:pPr>
        <w:tabs>
          <w:tab w:val="num" w:pos="5040"/>
        </w:tabs>
        <w:ind w:left="5040" w:hanging="360"/>
      </w:pPr>
      <w:rPr>
        <w:rFonts w:ascii="Calibri" w:hAnsi="Calibri" w:hint="default"/>
      </w:rPr>
    </w:lvl>
    <w:lvl w:ilvl="7" w:tplc="D40A395C" w:tentative="1">
      <w:start w:val="1"/>
      <w:numFmt w:val="bullet"/>
      <w:lvlText w:val=" "/>
      <w:lvlJc w:val="left"/>
      <w:pPr>
        <w:tabs>
          <w:tab w:val="num" w:pos="5760"/>
        </w:tabs>
        <w:ind w:left="5760" w:hanging="360"/>
      </w:pPr>
      <w:rPr>
        <w:rFonts w:ascii="Calibri" w:hAnsi="Calibri" w:hint="default"/>
      </w:rPr>
    </w:lvl>
    <w:lvl w:ilvl="8" w:tplc="E380542A" w:tentative="1">
      <w:start w:val="1"/>
      <w:numFmt w:val="bullet"/>
      <w:lvlText w:val=" "/>
      <w:lvlJc w:val="left"/>
      <w:pPr>
        <w:tabs>
          <w:tab w:val="num" w:pos="6480"/>
        </w:tabs>
        <w:ind w:left="6480" w:hanging="360"/>
      </w:pPr>
      <w:rPr>
        <w:rFonts w:ascii="Calibri" w:hAnsi="Calibri" w:hint="default"/>
      </w:rPr>
    </w:lvl>
  </w:abstractNum>
  <w:abstractNum w:abstractNumId="14">
    <w:nsid w:val="3E4E74BB"/>
    <w:multiLevelType w:val="hybridMultilevel"/>
    <w:tmpl w:val="9DC65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2347A4"/>
    <w:multiLevelType w:val="hybridMultilevel"/>
    <w:tmpl w:val="24EE3A1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1C0928"/>
    <w:multiLevelType w:val="hybridMultilevel"/>
    <w:tmpl w:val="784A41DE"/>
    <w:lvl w:ilvl="0" w:tplc="CE30B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6E52A7"/>
    <w:multiLevelType w:val="hybridMultilevel"/>
    <w:tmpl w:val="9014DD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5125C1"/>
    <w:multiLevelType w:val="hybridMultilevel"/>
    <w:tmpl w:val="2D92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D26C2D"/>
    <w:multiLevelType w:val="hybridMultilevel"/>
    <w:tmpl w:val="B7C8EB3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58C67288"/>
    <w:multiLevelType w:val="hybridMultilevel"/>
    <w:tmpl w:val="1E96A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A8019D"/>
    <w:multiLevelType w:val="hybridMultilevel"/>
    <w:tmpl w:val="0506F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BD235B"/>
    <w:multiLevelType w:val="hybridMultilevel"/>
    <w:tmpl w:val="4A6EBE64"/>
    <w:lvl w:ilvl="0" w:tplc="ADAA080C">
      <w:start w:val="1"/>
      <w:numFmt w:val="bullet"/>
      <w:lvlText w:val=""/>
      <w:lvlPicBulletId w:val="1"/>
      <w:lvlJc w:val="left"/>
      <w:pPr>
        <w:tabs>
          <w:tab w:val="num" w:pos="720"/>
        </w:tabs>
        <w:ind w:left="720" w:hanging="360"/>
      </w:pPr>
      <w:rPr>
        <w:rFonts w:ascii="Symbol" w:hAnsi="Symbol" w:hint="default"/>
      </w:rPr>
    </w:lvl>
    <w:lvl w:ilvl="1" w:tplc="21623324" w:tentative="1">
      <w:start w:val="1"/>
      <w:numFmt w:val="bullet"/>
      <w:lvlText w:val=""/>
      <w:lvlJc w:val="left"/>
      <w:pPr>
        <w:tabs>
          <w:tab w:val="num" w:pos="1440"/>
        </w:tabs>
        <w:ind w:left="1440" w:hanging="360"/>
      </w:pPr>
      <w:rPr>
        <w:rFonts w:ascii="Symbol" w:hAnsi="Symbol" w:hint="default"/>
      </w:rPr>
    </w:lvl>
    <w:lvl w:ilvl="2" w:tplc="7336403C" w:tentative="1">
      <w:start w:val="1"/>
      <w:numFmt w:val="bullet"/>
      <w:lvlText w:val=""/>
      <w:lvlJc w:val="left"/>
      <w:pPr>
        <w:tabs>
          <w:tab w:val="num" w:pos="2160"/>
        </w:tabs>
        <w:ind w:left="2160" w:hanging="360"/>
      </w:pPr>
      <w:rPr>
        <w:rFonts w:ascii="Symbol" w:hAnsi="Symbol" w:hint="default"/>
      </w:rPr>
    </w:lvl>
    <w:lvl w:ilvl="3" w:tplc="8F8E9C8C" w:tentative="1">
      <w:start w:val="1"/>
      <w:numFmt w:val="bullet"/>
      <w:lvlText w:val=""/>
      <w:lvlJc w:val="left"/>
      <w:pPr>
        <w:tabs>
          <w:tab w:val="num" w:pos="2880"/>
        </w:tabs>
        <w:ind w:left="2880" w:hanging="360"/>
      </w:pPr>
      <w:rPr>
        <w:rFonts w:ascii="Symbol" w:hAnsi="Symbol" w:hint="default"/>
      </w:rPr>
    </w:lvl>
    <w:lvl w:ilvl="4" w:tplc="318E9EDA" w:tentative="1">
      <w:start w:val="1"/>
      <w:numFmt w:val="bullet"/>
      <w:lvlText w:val=""/>
      <w:lvlJc w:val="left"/>
      <w:pPr>
        <w:tabs>
          <w:tab w:val="num" w:pos="3600"/>
        </w:tabs>
        <w:ind w:left="3600" w:hanging="360"/>
      </w:pPr>
      <w:rPr>
        <w:rFonts w:ascii="Symbol" w:hAnsi="Symbol" w:hint="default"/>
      </w:rPr>
    </w:lvl>
    <w:lvl w:ilvl="5" w:tplc="8BBE6B8A" w:tentative="1">
      <w:start w:val="1"/>
      <w:numFmt w:val="bullet"/>
      <w:lvlText w:val=""/>
      <w:lvlJc w:val="left"/>
      <w:pPr>
        <w:tabs>
          <w:tab w:val="num" w:pos="4320"/>
        </w:tabs>
        <w:ind w:left="4320" w:hanging="360"/>
      </w:pPr>
      <w:rPr>
        <w:rFonts w:ascii="Symbol" w:hAnsi="Symbol" w:hint="default"/>
      </w:rPr>
    </w:lvl>
    <w:lvl w:ilvl="6" w:tplc="FF8C607E" w:tentative="1">
      <w:start w:val="1"/>
      <w:numFmt w:val="bullet"/>
      <w:lvlText w:val=""/>
      <w:lvlJc w:val="left"/>
      <w:pPr>
        <w:tabs>
          <w:tab w:val="num" w:pos="5040"/>
        </w:tabs>
        <w:ind w:left="5040" w:hanging="360"/>
      </w:pPr>
      <w:rPr>
        <w:rFonts w:ascii="Symbol" w:hAnsi="Symbol" w:hint="default"/>
      </w:rPr>
    </w:lvl>
    <w:lvl w:ilvl="7" w:tplc="1F9637EE" w:tentative="1">
      <w:start w:val="1"/>
      <w:numFmt w:val="bullet"/>
      <w:lvlText w:val=""/>
      <w:lvlJc w:val="left"/>
      <w:pPr>
        <w:tabs>
          <w:tab w:val="num" w:pos="5760"/>
        </w:tabs>
        <w:ind w:left="5760" w:hanging="360"/>
      </w:pPr>
      <w:rPr>
        <w:rFonts w:ascii="Symbol" w:hAnsi="Symbol" w:hint="default"/>
      </w:rPr>
    </w:lvl>
    <w:lvl w:ilvl="8" w:tplc="F5BE3F6A" w:tentative="1">
      <w:start w:val="1"/>
      <w:numFmt w:val="bullet"/>
      <w:lvlText w:val=""/>
      <w:lvlJc w:val="left"/>
      <w:pPr>
        <w:tabs>
          <w:tab w:val="num" w:pos="6480"/>
        </w:tabs>
        <w:ind w:left="6480" w:hanging="360"/>
      </w:pPr>
      <w:rPr>
        <w:rFonts w:ascii="Symbol" w:hAnsi="Symbol" w:hint="default"/>
      </w:rPr>
    </w:lvl>
  </w:abstractNum>
  <w:abstractNum w:abstractNumId="23">
    <w:nsid w:val="661F0141"/>
    <w:multiLevelType w:val="hybridMultilevel"/>
    <w:tmpl w:val="7CC88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6F403E"/>
    <w:multiLevelType w:val="hybridMultilevel"/>
    <w:tmpl w:val="CAB40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7356C6"/>
    <w:multiLevelType w:val="hybridMultilevel"/>
    <w:tmpl w:val="482C3044"/>
    <w:lvl w:ilvl="0" w:tplc="AB4E41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8336A0"/>
    <w:multiLevelType w:val="hybridMultilevel"/>
    <w:tmpl w:val="8F960B18"/>
    <w:lvl w:ilvl="0" w:tplc="FC529856">
      <w:start w:val="1"/>
      <w:numFmt w:val="bullet"/>
      <w:lvlText w:val=" "/>
      <w:lvlJc w:val="left"/>
      <w:pPr>
        <w:tabs>
          <w:tab w:val="num" w:pos="720"/>
        </w:tabs>
        <w:ind w:left="720" w:hanging="360"/>
      </w:pPr>
      <w:rPr>
        <w:rFonts w:ascii="Calibri" w:hAnsi="Calibri" w:hint="default"/>
      </w:rPr>
    </w:lvl>
    <w:lvl w:ilvl="1" w:tplc="ADBA53B6" w:tentative="1">
      <w:start w:val="1"/>
      <w:numFmt w:val="bullet"/>
      <w:lvlText w:val=" "/>
      <w:lvlJc w:val="left"/>
      <w:pPr>
        <w:tabs>
          <w:tab w:val="num" w:pos="1440"/>
        </w:tabs>
        <w:ind w:left="1440" w:hanging="360"/>
      </w:pPr>
      <w:rPr>
        <w:rFonts w:ascii="Calibri" w:hAnsi="Calibri" w:hint="default"/>
      </w:rPr>
    </w:lvl>
    <w:lvl w:ilvl="2" w:tplc="EBBAFF76" w:tentative="1">
      <w:start w:val="1"/>
      <w:numFmt w:val="bullet"/>
      <w:lvlText w:val=" "/>
      <w:lvlJc w:val="left"/>
      <w:pPr>
        <w:tabs>
          <w:tab w:val="num" w:pos="2160"/>
        </w:tabs>
        <w:ind w:left="2160" w:hanging="360"/>
      </w:pPr>
      <w:rPr>
        <w:rFonts w:ascii="Calibri" w:hAnsi="Calibri" w:hint="default"/>
      </w:rPr>
    </w:lvl>
    <w:lvl w:ilvl="3" w:tplc="1062BE52" w:tentative="1">
      <w:start w:val="1"/>
      <w:numFmt w:val="bullet"/>
      <w:lvlText w:val=" "/>
      <w:lvlJc w:val="left"/>
      <w:pPr>
        <w:tabs>
          <w:tab w:val="num" w:pos="2880"/>
        </w:tabs>
        <w:ind w:left="2880" w:hanging="360"/>
      </w:pPr>
      <w:rPr>
        <w:rFonts w:ascii="Calibri" w:hAnsi="Calibri" w:hint="default"/>
      </w:rPr>
    </w:lvl>
    <w:lvl w:ilvl="4" w:tplc="C46A9438" w:tentative="1">
      <w:start w:val="1"/>
      <w:numFmt w:val="bullet"/>
      <w:lvlText w:val=" "/>
      <w:lvlJc w:val="left"/>
      <w:pPr>
        <w:tabs>
          <w:tab w:val="num" w:pos="3600"/>
        </w:tabs>
        <w:ind w:left="3600" w:hanging="360"/>
      </w:pPr>
      <w:rPr>
        <w:rFonts w:ascii="Calibri" w:hAnsi="Calibri" w:hint="default"/>
      </w:rPr>
    </w:lvl>
    <w:lvl w:ilvl="5" w:tplc="AA1EABBC" w:tentative="1">
      <w:start w:val="1"/>
      <w:numFmt w:val="bullet"/>
      <w:lvlText w:val=" "/>
      <w:lvlJc w:val="left"/>
      <w:pPr>
        <w:tabs>
          <w:tab w:val="num" w:pos="4320"/>
        </w:tabs>
        <w:ind w:left="4320" w:hanging="360"/>
      </w:pPr>
      <w:rPr>
        <w:rFonts w:ascii="Calibri" w:hAnsi="Calibri" w:hint="default"/>
      </w:rPr>
    </w:lvl>
    <w:lvl w:ilvl="6" w:tplc="E5F48826" w:tentative="1">
      <w:start w:val="1"/>
      <w:numFmt w:val="bullet"/>
      <w:lvlText w:val=" "/>
      <w:lvlJc w:val="left"/>
      <w:pPr>
        <w:tabs>
          <w:tab w:val="num" w:pos="5040"/>
        </w:tabs>
        <w:ind w:left="5040" w:hanging="360"/>
      </w:pPr>
      <w:rPr>
        <w:rFonts w:ascii="Calibri" w:hAnsi="Calibri" w:hint="default"/>
      </w:rPr>
    </w:lvl>
    <w:lvl w:ilvl="7" w:tplc="85E2A684" w:tentative="1">
      <w:start w:val="1"/>
      <w:numFmt w:val="bullet"/>
      <w:lvlText w:val=" "/>
      <w:lvlJc w:val="left"/>
      <w:pPr>
        <w:tabs>
          <w:tab w:val="num" w:pos="5760"/>
        </w:tabs>
        <w:ind w:left="5760" w:hanging="360"/>
      </w:pPr>
      <w:rPr>
        <w:rFonts w:ascii="Calibri" w:hAnsi="Calibri" w:hint="default"/>
      </w:rPr>
    </w:lvl>
    <w:lvl w:ilvl="8" w:tplc="BE80E4C2" w:tentative="1">
      <w:start w:val="1"/>
      <w:numFmt w:val="bullet"/>
      <w:lvlText w:val=" "/>
      <w:lvlJc w:val="left"/>
      <w:pPr>
        <w:tabs>
          <w:tab w:val="num" w:pos="6480"/>
        </w:tabs>
        <w:ind w:left="6480" w:hanging="360"/>
      </w:pPr>
      <w:rPr>
        <w:rFonts w:ascii="Calibri" w:hAnsi="Calibri" w:hint="default"/>
      </w:rPr>
    </w:lvl>
  </w:abstractNum>
  <w:abstractNum w:abstractNumId="27">
    <w:nsid w:val="69750304"/>
    <w:multiLevelType w:val="hybridMultilevel"/>
    <w:tmpl w:val="D23CE0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7F7920"/>
    <w:multiLevelType w:val="hybridMultilevel"/>
    <w:tmpl w:val="49661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810480"/>
    <w:multiLevelType w:val="hybridMultilevel"/>
    <w:tmpl w:val="6AD4BC5C"/>
    <w:lvl w:ilvl="0" w:tplc="87F2C408">
      <w:start w:val="1"/>
      <w:numFmt w:val="bullet"/>
      <w:lvlText w:val=""/>
      <w:lvlPicBulletId w:val="0"/>
      <w:lvlJc w:val="left"/>
      <w:pPr>
        <w:tabs>
          <w:tab w:val="num" w:pos="720"/>
        </w:tabs>
        <w:ind w:left="720" w:hanging="360"/>
      </w:pPr>
      <w:rPr>
        <w:rFonts w:ascii="Symbol" w:hAnsi="Symbol" w:hint="default"/>
        <w:sz w:val="24"/>
        <w:szCs w:val="24"/>
      </w:rPr>
    </w:lvl>
    <w:lvl w:ilvl="1" w:tplc="BC327A00" w:tentative="1">
      <w:start w:val="1"/>
      <w:numFmt w:val="bullet"/>
      <w:lvlText w:val=""/>
      <w:lvlJc w:val="left"/>
      <w:pPr>
        <w:tabs>
          <w:tab w:val="num" w:pos="1440"/>
        </w:tabs>
        <w:ind w:left="1440" w:hanging="360"/>
      </w:pPr>
      <w:rPr>
        <w:rFonts w:ascii="Symbol" w:hAnsi="Symbol" w:hint="default"/>
      </w:rPr>
    </w:lvl>
    <w:lvl w:ilvl="2" w:tplc="BA107354" w:tentative="1">
      <w:start w:val="1"/>
      <w:numFmt w:val="bullet"/>
      <w:lvlText w:val=""/>
      <w:lvlJc w:val="left"/>
      <w:pPr>
        <w:tabs>
          <w:tab w:val="num" w:pos="2160"/>
        </w:tabs>
        <w:ind w:left="2160" w:hanging="360"/>
      </w:pPr>
      <w:rPr>
        <w:rFonts w:ascii="Symbol" w:hAnsi="Symbol" w:hint="default"/>
      </w:rPr>
    </w:lvl>
    <w:lvl w:ilvl="3" w:tplc="F8348C94" w:tentative="1">
      <w:start w:val="1"/>
      <w:numFmt w:val="bullet"/>
      <w:lvlText w:val=""/>
      <w:lvlJc w:val="left"/>
      <w:pPr>
        <w:tabs>
          <w:tab w:val="num" w:pos="2880"/>
        </w:tabs>
        <w:ind w:left="2880" w:hanging="360"/>
      </w:pPr>
      <w:rPr>
        <w:rFonts w:ascii="Symbol" w:hAnsi="Symbol" w:hint="default"/>
      </w:rPr>
    </w:lvl>
    <w:lvl w:ilvl="4" w:tplc="6BD2D24E" w:tentative="1">
      <w:start w:val="1"/>
      <w:numFmt w:val="bullet"/>
      <w:lvlText w:val=""/>
      <w:lvlJc w:val="left"/>
      <w:pPr>
        <w:tabs>
          <w:tab w:val="num" w:pos="3600"/>
        </w:tabs>
        <w:ind w:left="3600" w:hanging="360"/>
      </w:pPr>
      <w:rPr>
        <w:rFonts w:ascii="Symbol" w:hAnsi="Symbol" w:hint="default"/>
      </w:rPr>
    </w:lvl>
    <w:lvl w:ilvl="5" w:tplc="85D0F0FE" w:tentative="1">
      <w:start w:val="1"/>
      <w:numFmt w:val="bullet"/>
      <w:lvlText w:val=""/>
      <w:lvlJc w:val="left"/>
      <w:pPr>
        <w:tabs>
          <w:tab w:val="num" w:pos="4320"/>
        </w:tabs>
        <w:ind w:left="4320" w:hanging="360"/>
      </w:pPr>
      <w:rPr>
        <w:rFonts w:ascii="Symbol" w:hAnsi="Symbol" w:hint="default"/>
      </w:rPr>
    </w:lvl>
    <w:lvl w:ilvl="6" w:tplc="FF38AA48" w:tentative="1">
      <w:start w:val="1"/>
      <w:numFmt w:val="bullet"/>
      <w:lvlText w:val=""/>
      <w:lvlJc w:val="left"/>
      <w:pPr>
        <w:tabs>
          <w:tab w:val="num" w:pos="5040"/>
        </w:tabs>
        <w:ind w:left="5040" w:hanging="360"/>
      </w:pPr>
      <w:rPr>
        <w:rFonts w:ascii="Symbol" w:hAnsi="Symbol" w:hint="default"/>
      </w:rPr>
    </w:lvl>
    <w:lvl w:ilvl="7" w:tplc="3F5E5262" w:tentative="1">
      <w:start w:val="1"/>
      <w:numFmt w:val="bullet"/>
      <w:lvlText w:val=""/>
      <w:lvlJc w:val="left"/>
      <w:pPr>
        <w:tabs>
          <w:tab w:val="num" w:pos="5760"/>
        </w:tabs>
        <w:ind w:left="5760" w:hanging="360"/>
      </w:pPr>
      <w:rPr>
        <w:rFonts w:ascii="Symbol" w:hAnsi="Symbol" w:hint="default"/>
      </w:rPr>
    </w:lvl>
    <w:lvl w:ilvl="8" w:tplc="E7F8A50A" w:tentative="1">
      <w:start w:val="1"/>
      <w:numFmt w:val="bullet"/>
      <w:lvlText w:val=""/>
      <w:lvlJc w:val="left"/>
      <w:pPr>
        <w:tabs>
          <w:tab w:val="num" w:pos="6480"/>
        </w:tabs>
        <w:ind w:left="6480" w:hanging="360"/>
      </w:pPr>
      <w:rPr>
        <w:rFonts w:ascii="Symbol" w:hAnsi="Symbol" w:hint="default"/>
      </w:rPr>
    </w:lvl>
  </w:abstractNum>
  <w:abstractNum w:abstractNumId="30">
    <w:nsid w:val="740C3722"/>
    <w:multiLevelType w:val="hybridMultilevel"/>
    <w:tmpl w:val="95A2E976"/>
    <w:lvl w:ilvl="0" w:tplc="8024886A">
      <w:start w:val="1"/>
      <w:numFmt w:val="decimal"/>
      <w:lvlText w:val="%1."/>
      <w:lvlJc w:val="left"/>
      <w:pPr>
        <w:ind w:left="720" w:hanging="360"/>
      </w:pPr>
      <w:rPr>
        <w:rFonts w:hint="default"/>
        <w:sz w:val="17"/>
      </w:rPr>
    </w:lvl>
    <w:lvl w:ilvl="1" w:tplc="129AEAA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343EF0"/>
    <w:multiLevelType w:val="hybridMultilevel"/>
    <w:tmpl w:val="F61E8050"/>
    <w:lvl w:ilvl="0" w:tplc="B7F251F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8"/>
  </w:num>
  <w:num w:numId="4">
    <w:abstractNumId w:val="25"/>
  </w:num>
  <w:num w:numId="5">
    <w:abstractNumId w:val="10"/>
  </w:num>
  <w:num w:numId="6">
    <w:abstractNumId w:val="20"/>
  </w:num>
  <w:num w:numId="7">
    <w:abstractNumId w:val="23"/>
  </w:num>
  <w:num w:numId="8">
    <w:abstractNumId w:val="21"/>
  </w:num>
  <w:num w:numId="9">
    <w:abstractNumId w:val="12"/>
  </w:num>
  <w:num w:numId="10">
    <w:abstractNumId w:val="11"/>
  </w:num>
  <w:num w:numId="11">
    <w:abstractNumId w:val="31"/>
  </w:num>
  <w:num w:numId="12">
    <w:abstractNumId w:val="18"/>
  </w:num>
  <w:num w:numId="13">
    <w:abstractNumId w:val="10"/>
  </w:num>
  <w:num w:numId="14">
    <w:abstractNumId w:val="16"/>
  </w:num>
  <w:num w:numId="15">
    <w:abstractNumId w:val="14"/>
  </w:num>
  <w:num w:numId="16">
    <w:abstractNumId w:val="27"/>
  </w:num>
  <w:num w:numId="17">
    <w:abstractNumId w:val="24"/>
  </w:num>
  <w:num w:numId="18">
    <w:abstractNumId w:val="7"/>
  </w:num>
  <w:num w:numId="19">
    <w:abstractNumId w:val="17"/>
  </w:num>
  <w:num w:numId="20">
    <w:abstractNumId w:val="19"/>
  </w:num>
  <w:num w:numId="21">
    <w:abstractNumId w:val="0"/>
  </w:num>
  <w:num w:numId="22">
    <w:abstractNumId w:val="29"/>
  </w:num>
  <w:num w:numId="23">
    <w:abstractNumId w:val="1"/>
  </w:num>
  <w:num w:numId="24">
    <w:abstractNumId w:val="30"/>
  </w:num>
  <w:num w:numId="25">
    <w:abstractNumId w:val="5"/>
  </w:num>
  <w:num w:numId="26">
    <w:abstractNumId w:val="3"/>
  </w:num>
  <w:num w:numId="27">
    <w:abstractNumId w:val="4"/>
  </w:num>
  <w:num w:numId="28">
    <w:abstractNumId w:val="26"/>
  </w:num>
  <w:num w:numId="29">
    <w:abstractNumId w:val="13"/>
  </w:num>
  <w:num w:numId="30">
    <w:abstractNumId w:val="9"/>
  </w:num>
  <w:num w:numId="31">
    <w:abstractNumId w:val="6"/>
  </w:num>
  <w:num w:numId="32">
    <w:abstractNumId w:val="2"/>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useFELayout/>
  </w:compat>
  <w:rsids>
    <w:rsidRoot w:val="0049691C"/>
    <w:rsid w:val="000016FC"/>
    <w:rsid w:val="000019E4"/>
    <w:rsid w:val="00002094"/>
    <w:rsid w:val="00002F3C"/>
    <w:rsid w:val="0000351C"/>
    <w:rsid w:val="000042A9"/>
    <w:rsid w:val="00004A61"/>
    <w:rsid w:val="00004EBB"/>
    <w:rsid w:val="0000541B"/>
    <w:rsid w:val="0000625E"/>
    <w:rsid w:val="000066C6"/>
    <w:rsid w:val="00006812"/>
    <w:rsid w:val="00007653"/>
    <w:rsid w:val="00007948"/>
    <w:rsid w:val="00007E8A"/>
    <w:rsid w:val="00010007"/>
    <w:rsid w:val="00010190"/>
    <w:rsid w:val="000114E0"/>
    <w:rsid w:val="000124FE"/>
    <w:rsid w:val="00013BBE"/>
    <w:rsid w:val="0001413C"/>
    <w:rsid w:val="0001506B"/>
    <w:rsid w:val="000155A0"/>
    <w:rsid w:val="00017BB5"/>
    <w:rsid w:val="0002036F"/>
    <w:rsid w:val="000211FB"/>
    <w:rsid w:val="00022CA6"/>
    <w:rsid w:val="000238EF"/>
    <w:rsid w:val="00023915"/>
    <w:rsid w:val="00025EA0"/>
    <w:rsid w:val="00026D71"/>
    <w:rsid w:val="00026EB0"/>
    <w:rsid w:val="000275DA"/>
    <w:rsid w:val="00027D8D"/>
    <w:rsid w:val="0003033B"/>
    <w:rsid w:val="00031112"/>
    <w:rsid w:val="00031405"/>
    <w:rsid w:val="00031E75"/>
    <w:rsid w:val="000324AA"/>
    <w:rsid w:val="000338A6"/>
    <w:rsid w:val="00033D44"/>
    <w:rsid w:val="00033DFF"/>
    <w:rsid w:val="0003424E"/>
    <w:rsid w:val="00034734"/>
    <w:rsid w:val="00034A68"/>
    <w:rsid w:val="00035DC7"/>
    <w:rsid w:val="00036E18"/>
    <w:rsid w:val="00037422"/>
    <w:rsid w:val="000377F9"/>
    <w:rsid w:val="00037D7F"/>
    <w:rsid w:val="000405D0"/>
    <w:rsid w:val="00040728"/>
    <w:rsid w:val="00041340"/>
    <w:rsid w:val="000434BE"/>
    <w:rsid w:val="000447D5"/>
    <w:rsid w:val="000450BA"/>
    <w:rsid w:val="00046225"/>
    <w:rsid w:val="0004677F"/>
    <w:rsid w:val="00046ED9"/>
    <w:rsid w:val="000501E4"/>
    <w:rsid w:val="00050EE7"/>
    <w:rsid w:val="000515CC"/>
    <w:rsid w:val="00051983"/>
    <w:rsid w:val="0005229E"/>
    <w:rsid w:val="000525FA"/>
    <w:rsid w:val="000539A2"/>
    <w:rsid w:val="00053A51"/>
    <w:rsid w:val="00054723"/>
    <w:rsid w:val="00054AA7"/>
    <w:rsid w:val="00055A68"/>
    <w:rsid w:val="000578CD"/>
    <w:rsid w:val="000601AD"/>
    <w:rsid w:val="00060608"/>
    <w:rsid w:val="000606AA"/>
    <w:rsid w:val="00062301"/>
    <w:rsid w:val="00062E4D"/>
    <w:rsid w:val="000635AD"/>
    <w:rsid w:val="00063C4A"/>
    <w:rsid w:val="00063F8A"/>
    <w:rsid w:val="00065F39"/>
    <w:rsid w:val="00066463"/>
    <w:rsid w:val="00066895"/>
    <w:rsid w:val="00066B8B"/>
    <w:rsid w:val="0007038F"/>
    <w:rsid w:val="0007129D"/>
    <w:rsid w:val="00071FDA"/>
    <w:rsid w:val="00072487"/>
    <w:rsid w:val="000724C5"/>
    <w:rsid w:val="000726E0"/>
    <w:rsid w:val="00072761"/>
    <w:rsid w:val="000727F8"/>
    <w:rsid w:val="00072865"/>
    <w:rsid w:val="00073C1B"/>
    <w:rsid w:val="00073DFD"/>
    <w:rsid w:val="00073FF7"/>
    <w:rsid w:val="00074662"/>
    <w:rsid w:val="00076456"/>
    <w:rsid w:val="0008065D"/>
    <w:rsid w:val="00080BF1"/>
    <w:rsid w:val="00082527"/>
    <w:rsid w:val="00083862"/>
    <w:rsid w:val="00083917"/>
    <w:rsid w:val="0008396D"/>
    <w:rsid w:val="00083DE8"/>
    <w:rsid w:val="000849C7"/>
    <w:rsid w:val="00086131"/>
    <w:rsid w:val="00086296"/>
    <w:rsid w:val="00086C88"/>
    <w:rsid w:val="00086FC0"/>
    <w:rsid w:val="00087A29"/>
    <w:rsid w:val="00091208"/>
    <w:rsid w:val="00091A85"/>
    <w:rsid w:val="00091C50"/>
    <w:rsid w:val="000920C9"/>
    <w:rsid w:val="00092FDB"/>
    <w:rsid w:val="0009316C"/>
    <w:rsid w:val="00093486"/>
    <w:rsid w:val="0009538B"/>
    <w:rsid w:val="00095631"/>
    <w:rsid w:val="00095F1A"/>
    <w:rsid w:val="000961BE"/>
    <w:rsid w:val="00096CAE"/>
    <w:rsid w:val="00096FF7"/>
    <w:rsid w:val="0009723F"/>
    <w:rsid w:val="0009741D"/>
    <w:rsid w:val="0009744B"/>
    <w:rsid w:val="000A0ED4"/>
    <w:rsid w:val="000A193C"/>
    <w:rsid w:val="000A2AEF"/>
    <w:rsid w:val="000A3181"/>
    <w:rsid w:val="000A4288"/>
    <w:rsid w:val="000A4F77"/>
    <w:rsid w:val="000A5342"/>
    <w:rsid w:val="000A60F9"/>
    <w:rsid w:val="000A7494"/>
    <w:rsid w:val="000A7725"/>
    <w:rsid w:val="000A77EB"/>
    <w:rsid w:val="000A7B6C"/>
    <w:rsid w:val="000A7CE9"/>
    <w:rsid w:val="000A7DDC"/>
    <w:rsid w:val="000B2A63"/>
    <w:rsid w:val="000B36DE"/>
    <w:rsid w:val="000B3EED"/>
    <w:rsid w:val="000B720C"/>
    <w:rsid w:val="000B7424"/>
    <w:rsid w:val="000B7D55"/>
    <w:rsid w:val="000C07B1"/>
    <w:rsid w:val="000C2131"/>
    <w:rsid w:val="000C2A6A"/>
    <w:rsid w:val="000C2DF8"/>
    <w:rsid w:val="000C343C"/>
    <w:rsid w:val="000C346B"/>
    <w:rsid w:val="000C47C5"/>
    <w:rsid w:val="000C6068"/>
    <w:rsid w:val="000C752E"/>
    <w:rsid w:val="000C79EA"/>
    <w:rsid w:val="000C7BD2"/>
    <w:rsid w:val="000C7CDA"/>
    <w:rsid w:val="000D1225"/>
    <w:rsid w:val="000D18AD"/>
    <w:rsid w:val="000D1F45"/>
    <w:rsid w:val="000D3AD4"/>
    <w:rsid w:val="000D3B0E"/>
    <w:rsid w:val="000D511A"/>
    <w:rsid w:val="000D693B"/>
    <w:rsid w:val="000D6BC4"/>
    <w:rsid w:val="000D76AC"/>
    <w:rsid w:val="000E124E"/>
    <w:rsid w:val="000E2494"/>
    <w:rsid w:val="000E26EF"/>
    <w:rsid w:val="000E26FE"/>
    <w:rsid w:val="000E290C"/>
    <w:rsid w:val="000E2DCD"/>
    <w:rsid w:val="000E35B2"/>
    <w:rsid w:val="000E371D"/>
    <w:rsid w:val="000E38AD"/>
    <w:rsid w:val="000E410E"/>
    <w:rsid w:val="000E49CA"/>
    <w:rsid w:val="000E4D7B"/>
    <w:rsid w:val="000E51F9"/>
    <w:rsid w:val="000E5538"/>
    <w:rsid w:val="000E5B01"/>
    <w:rsid w:val="000E5DC9"/>
    <w:rsid w:val="000E6653"/>
    <w:rsid w:val="000E6AE5"/>
    <w:rsid w:val="000E6F26"/>
    <w:rsid w:val="000F0E66"/>
    <w:rsid w:val="000F1985"/>
    <w:rsid w:val="000F2657"/>
    <w:rsid w:val="000F2BC9"/>
    <w:rsid w:val="000F2D60"/>
    <w:rsid w:val="000F45D5"/>
    <w:rsid w:val="000F4F7E"/>
    <w:rsid w:val="000F608B"/>
    <w:rsid w:val="000F6A7E"/>
    <w:rsid w:val="000F7177"/>
    <w:rsid w:val="000F718C"/>
    <w:rsid w:val="000F74E6"/>
    <w:rsid w:val="001000B5"/>
    <w:rsid w:val="00101BAD"/>
    <w:rsid w:val="001022AE"/>
    <w:rsid w:val="00102A0D"/>
    <w:rsid w:val="00102FD4"/>
    <w:rsid w:val="00105000"/>
    <w:rsid w:val="00105302"/>
    <w:rsid w:val="00105608"/>
    <w:rsid w:val="001061F8"/>
    <w:rsid w:val="0010799A"/>
    <w:rsid w:val="001105FD"/>
    <w:rsid w:val="001108EE"/>
    <w:rsid w:val="001117CD"/>
    <w:rsid w:val="0011230A"/>
    <w:rsid w:val="00115717"/>
    <w:rsid w:val="001167EB"/>
    <w:rsid w:val="00116A92"/>
    <w:rsid w:val="00116ED3"/>
    <w:rsid w:val="00120ED7"/>
    <w:rsid w:val="0012360D"/>
    <w:rsid w:val="00124132"/>
    <w:rsid w:val="001245C7"/>
    <w:rsid w:val="00124A9A"/>
    <w:rsid w:val="001254E2"/>
    <w:rsid w:val="00127366"/>
    <w:rsid w:val="001306A8"/>
    <w:rsid w:val="00130F5D"/>
    <w:rsid w:val="0013150C"/>
    <w:rsid w:val="00131D50"/>
    <w:rsid w:val="0013280F"/>
    <w:rsid w:val="00132D45"/>
    <w:rsid w:val="0013429E"/>
    <w:rsid w:val="00134A66"/>
    <w:rsid w:val="001351F4"/>
    <w:rsid w:val="00135294"/>
    <w:rsid w:val="00135393"/>
    <w:rsid w:val="001356E5"/>
    <w:rsid w:val="001360BA"/>
    <w:rsid w:val="00136211"/>
    <w:rsid w:val="0013661F"/>
    <w:rsid w:val="001376AA"/>
    <w:rsid w:val="001406D9"/>
    <w:rsid w:val="00140C5A"/>
    <w:rsid w:val="00140F45"/>
    <w:rsid w:val="001411DA"/>
    <w:rsid w:val="0014120F"/>
    <w:rsid w:val="00141BD0"/>
    <w:rsid w:val="00142718"/>
    <w:rsid w:val="001437CF"/>
    <w:rsid w:val="00144248"/>
    <w:rsid w:val="00144C53"/>
    <w:rsid w:val="00145DC7"/>
    <w:rsid w:val="00147722"/>
    <w:rsid w:val="00151659"/>
    <w:rsid w:val="00152839"/>
    <w:rsid w:val="00152DEE"/>
    <w:rsid w:val="001536DB"/>
    <w:rsid w:val="00153F34"/>
    <w:rsid w:val="00154370"/>
    <w:rsid w:val="0015470B"/>
    <w:rsid w:val="00154B2F"/>
    <w:rsid w:val="00154BD3"/>
    <w:rsid w:val="00155016"/>
    <w:rsid w:val="001552AB"/>
    <w:rsid w:val="00155468"/>
    <w:rsid w:val="0015703B"/>
    <w:rsid w:val="001574EB"/>
    <w:rsid w:val="00157789"/>
    <w:rsid w:val="001601B9"/>
    <w:rsid w:val="00160746"/>
    <w:rsid w:val="00161F05"/>
    <w:rsid w:val="001623C5"/>
    <w:rsid w:val="00162979"/>
    <w:rsid w:val="001643EA"/>
    <w:rsid w:val="00164FD0"/>
    <w:rsid w:val="00165DE8"/>
    <w:rsid w:val="001661F9"/>
    <w:rsid w:val="00167346"/>
    <w:rsid w:val="00172ACA"/>
    <w:rsid w:val="00172B82"/>
    <w:rsid w:val="0017366D"/>
    <w:rsid w:val="001738A3"/>
    <w:rsid w:val="00175697"/>
    <w:rsid w:val="00175A5D"/>
    <w:rsid w:val="0017697F"/>
    <w:rsid w:val="00177416"/>
    <w:rsid w:val="00177C8C"/>
    <w:rsid w:val="00180334"/>
    <w:rsid w:val="00180912"/>
    <w:rsid w:val="00182196"/>
    <w:rsid w:val="001826C4"/>
    <w:rsid w:val="001835F3"/>
    <w:rsid w:val="001849CB"/>
    <w:rsid w:val="001849EE"/>
    <w:rsid w:val="00184E10"/>
    <w:rsid w:val="001860F6"/>
    <w:rsid w:val="00187035"/>
    <w:rsid w:val="00187501"/>
    <w:rsid w:val="001903F9"/>
    <w:rsid w:val="001905E9"/>
    <w:rsid w:val="00190B4A"/>
    <w:rsid w:val="00191FA2"/>
    <w:rsid w:val="001935BE"/>
    <w:rsid w:val="00193887"/>
    <w:rsid w:val="001949C7"/>
    <w:rsid w:val="001955A9"/>
    <w:rsid w:val="00195696"/>
    <w:rsid w:val="001967F8"/>
    <w:rsid w:val="00197AF1"/>
    <w:rsid w:val="00197E9F"/>
    <w:rsid w:val="001A299F"/>
    <w:rsid w:val="001A2F49"/>
    <w:rsid w:val="001A3DAA"/>
    <w:rsid w:val="001A43C9"/>
    <w:rsid w:val="001A467F"/>
    <w:rsid w:val="001A4F13"/>
    <w:rsid w:val="001A51DF"/>
    <w:rsid w:val="001A618B"/>
    <w:rsid w:val="001A64C1"/>
    <w:rsid w:val="001A7DA0"/>
    <w:rsid w:val="001B0176"/>
    <w:rsid w:val="001B0FBD"/>
    <w:rsid w:val="001B21ED"/>
    <w:rsid w:val="001B39FA"/>
    <w:rsid w:val="001B42BE"/>
    <w:rsid w:val="001B49F3"/>
    <w:rsid w:val="001B4D72"/>
    <w:rsid w:val="001B4FC8"/>
    <w:rsid w:val="001B64CD"/>
    <w:rsid w:val="001B6BC6"/>
    <w:rsid w:val="001B7D62"/>
    <w:rsid w:val="001B7E2B"/>
    <w:rsid w:val="001C0A14"/>
    <w:rsid w:val="001C1339"/>
    <w:rsid w:val="001C1908"/>
    <w:rsid w:val="001C215E"/>
    <w:rsid w:val="001C292D"/>
    <w:rsid w:val="001C35C2"/>
    <w:rsid w:val="001C38D6"/>
    <w:rsid w:val="001C3EBE"/>
    <w:rsid w:val="001C43F5"/>
    <w:rsid w:val="001C5459"/>
    <w:rsid w:val="001C6088"/>
    <w:rsid w:val="001C6D91"/>
    <w:rsid w:val="001D06BA"/>
    <w:rsid w:val="001D0B33"/>
    <w:rsid w:val="001D0D0B"/>
    <w:rsid w:val="001D118D"/>
    <w:rsid w:val="001D14DE"/>
    <w:rsid w:val="001D1825"/>
    <w:rsid w:val="001D1A5F"/>
    <w:rsid w:val="001D1D04"/>
    <w:rsid w:val="001D22BC"/>
    <w:rsid w:val="001D2511"/>
    <w:rsid w:val="001D2D61"/>
    <w:rsid w:val="001D3A34"/>
    <w:rsid w:val="001D3FBA"/>
    <w:rsid w:val="001D485F"/>
    <w:rsid w:val="001D5540"/>
    <w:rsid w:val="001D5A79"/>
    <w:rsid w:val="001D5E2D"/>
    <w:rsid w:val="001D6DEB"/>
    <w:rsid w:val="001D6E7E"/>
    <w:rsid w:val="001D7618"/>
    <w:rsid w:val="001E1066"/>
    <w:rsid w:val="001E155F"/>
    <w:rsid w:val="001E180E"/>
    <w:rsid w:val="001E195B"/>
    <w:rsid w:val="001E2409"/>
    <w:rsid w:val="001E28D9"/>
    <w:rsid w:val="001E2949"/>
    <w:rsid w:val="001E2DA7"/>
    <w:rsid w:val="001E3014"/>
    <w:rsid w:val="001E393F"/>
    <w:rsid w:val="001E3E0E"/>
    <w:rsid w:val="001E3FB3"/>
    <w:rsid w:val="001E55CE"/>
    <w:rsid w:val="001E6276"/>
    <w:rsid w:val="001E6B0C"/>
    <w:rsid w:val="001E700D"/>
    <w:rsid w:val="001E7089"/>
    <w:rsid w:val="001E783E"/>
    <w:rsid w:val="001E7B85"/>
    <w:rsid w:val="001E7DC2"/>
    <w:rsid w:val="001E7E33"/>
    <w:rsid w:val="001F0DA6"/>
    <w:rsid w:val="001F2D08"/>
    <w:rsid w:val="001F3525"/>
    <w:rsid w:val="001F43A7"/>
    <w:rsid w:val="001F457B"/>
    <w:rsid w:val="001F4AC5"/>
    <w:rsid w:val="001F516B"/>
    <w:rsid w:val="001F600B"/>
    <w:rsid w:val="001F72C3"/>
    <w:rsid w:val="001F7CC7"/>
    <w:rsid w:val="00200218"/>
    <w:rsid w:val="0020149A"/>
    <w:rsid w:val="002015EC"/>
    <w:rsid w:val="002018B3"/>
    <w:rsid w:val="00201ED8"/>
    <w:rsid w:val="00202289"/>
    <w:rsid w:val="0020259E"/>
    <w:rsid w:val="00202F84"/>
    <w:rsid w:val="0020496F"/>
    <w:rsid w:val="00204E81"/>
    <w:rsid w:val="00204FF4"/>
    <w:rsid w:val="0020574C"/>
    <w:rsid w:val="0020656F"/>
    <w:rsid w:val="00206B8D"/>
    <w:rsid w:val="00206FD1"/>
    <w:rsid w:val="002076D0"/>
    <w:rsid w:val="00207B31"/>
    <w:rsid w:val="0021069B"/>
    <w:rsid w:val="00211804"/>
    <w:rsid w:val="0021249C"/>
    <w:rsid w:val="00215630"/>
    <w:rsid w:val="00215FC2"/>
    <w:rsid w:val="002168BB"/>
    <w:rsid w:val="00217616"/>
    <w:rsid w:val="0022131C"/>
    <w:rsid w:val="002213F5"/>
    <w:rsid w:val="00222C82"/>
    <w:rsid w:val="00222FD0"/>
    <w:rsid w:val="00224D5E"/>
    <w:rsid w:val="002250F7"/>
    <w:rsid w:val="00225C59"/>
    <w:rsid w:val="00226340"/>
    <w:rsid w:val="0022700E"/>
    <w:rsid w:val="00230310"/>
    <w:rsid w:val="002306BB"/>
    <w:rsid w:val="0023141E"/>
    <w:rsid w:val="0023242B"/>
    <w:rsid w:val="002328C6"/>
    <w:rsid w:val="00232E22"/>
    <w:rsid w:val="00234204"/>
    <w:rsid w:val="00234B71"/>
    <w:rsid w:val="00234CD4"/>
    <w:rsid w:val="00235D29"/>
    <w:rsid w:val="002363C1"/>
    <w:rsid w:val="00236708"/>
    <w:rsid w:val="002410A8"/>
    <w:rsid w:val="00241A1F"/>
    <w:rsid w:val="00241AF3"/>
    <w:rsid w:val="00241C01"/>
    <w:rsid w:val="00241FC3"/>
    <w:rsid w:val="00242142"/>
    <w:rsid w:val="002421EC"/>
    <w:rsid w:val="00243A7F"/>
    <w:rsid w:val="00243C74"/>
    <w:rsid w:val="00243E59"/>
    <w:rsid w:val="00244874"/>
    <w:rsid w:val="0024532D"/>
    <w:rsid w:val="00245D49"/>
    <w:rsid w:val="00247562"/>
    <w:rsid w:val="00247CA5"/>
    <w:rsid w:val="0025154D"/>
    <w:rsid w:val="00251EEE"/>
    <w:rsid w:val="00252000"/>
    <w:rsid w:val="00252222"/>
    <w:rsid w:val="002529EF"/>
    <w:rsid w:val="00252C62"/>
    <w:rsid w:val="00253334"/>
    <w:rsid w:val="0025455F"/>
    <w:rsid w:val="00255A35"/>
    <w:rsid w:val="00255EF2"/>
    <w:rsid w:val="0025608C"/>
    <w:rsid w:val="00256DC5"/>
    <w:rsid w:val="0025766D"/>
    <w:rsid w:val="00257AB7"/>
    <w:rsid w:val="00257BAB"/>
    <w:rsid w:val="00260C25"/>
    <w:rsid w:val="00260D2B"/>
    <w:rsid w:val="00260F37"/>
    <w:rsid w:val="0026192C"/>
    <w:rsid w:val="00262061"/>
    <w:rsid w:val="002626BE"/>
    <w:rsid w:val="00262862"/>
    <w:rsid w:val="00263213"/>
    <w:rsid w:val="0026343E"/>
    <w:rsid w:val="00263848"/>
    <w:rsid w:val="0026398E"/>
    <w:rsid w:val="00263CA6"/>
    <w:rsid w:val="00265CEA"/>
    <w:rsid w:val="00265E26"/>
    <w:rsid w:val="00266762"/>
    <w:rsid w:val="002700CE"/>
    <w:rsid w:val="002700FD"/>
    <w:rsid w:val="00271DF9"/>
    <w:rsid w:val="00271E48"/>
    <w:rsid w:val="0027249C"/>
    <w:rsid w:val="002726A1"/>
    <w:rsid w:val="00272A8F"/>
    <w:rsid w:val="00272C69"/>
    <w:rsid w:val="00272E75"/>
    <w:rsid w:val="00273002"/>
    <w:rsid w:val="002732CD"/>
    <w:rsid w:val="0027373C"/>
    <w:rsid w:val="00273A18"/>
    <w:rsid w:val="00274B7C"/>
    <w:rsid w:val="0027598A"/>
    <w:rsid w:val="00275B61"/>
    <w:rsid w:val="00275B80"/>
    <w:rsid w:val="00275D2A"/>
    <w:rsid w:val="00275D6B"/>
    <w:rsid w:val="00276947"/>
    <w:rsid w:val="00276BA4"/>
    <w:rsid w:val="00277CF6"/>
    <w:rsid w:val="00280133"/>
    <w:rsid w:val="00281800"/>
    <w:rsid w:val="0028264F"/>
    <w:rsid w:val="002827BB"/>
    <w:rsid w:val="00282A19"/>
    <w:rsid w:val="00285307"/>
    <w:rsid w:val="00285566"/>
    <w:rsid w:val="00285DAD"/>
    <w:rsid w:val="002862C6"/>
    <w:rsid w:val="00286CDE"/>
    <w:rsid w:val="00287806"/>
    <w:rsid w:val="00287BE6"/>
    <w:rsid w:val="00290132"/>
    <w:rsid w:val="002907DC"/>
    <w:rsid w:val="00291405"/>
    <w:rsid w:val="0029148F"/>
    <w:rsid w:val="0029324D"/>
    <w:rsid w:val="002937D7"/>
    <w:rsid w:val="002944BD"/>
    <w:rsid w:val="002948C8"/>
    <w:rsid w:val="0029507B"/>
    <w:rsid w:val="002952FD"/>
    <w:rsid w:val="0029754F"/>
    <w:rsid w:val="002A01EC"/>
    <w:rsid w:val="002A0531"/>
    <w:rsid w:val="002A2940"/>
    <w:rsid w:val="002A3BA7"/>
    <w:rsid w:val="002A4B19"/>
    <w:rsid w:val="002A572C"/>
    <w:rsid w:val="002A649D"/>
    <w:rsid w:val="002A72A1"/>
    <w:rsid w:val="002A75E0"/>
    <w:rsid w:val="002A7BB5"/>
    <w:rsid w:val="002B03AF"/>
    <w:rsid w:val="002B106A"/>
    <w:rsid w:val="002B16C3"/>
    <w:rsid w:val="002B1B72"/>
    <w:rsid w:val="002B1F7F"/>
    <w:rsid w:val="002B207C"/>
    <w:rsid w:val="002B27A9"/>
    <w:rsid w:val="002B3478"/>
    <w:rsid w:val="002B4D83"/>
    <w:rsid w:val="002B59FB"/>
    <w:rsid w:val="002B6DB2"/>
    <w:rsid w:val="002B6F7D"/>
    <w:rsid w:val="002B76AB"/>
    <w:rsid w:val="002B7801"/>
    <w:rsid w:val="002C0E6D"/>
    <w:rsid w:val="002C1576"/>
    <w:rsid w:val="002C2EC4"/>
    <w:rsid w:val="002C487D"/>
    <w:rsid w:val="002C504C"/>
    <w:rsid w:val="002C5AD4"/>
    <w:rsid w:val="002C5FAA"/>
    <w:rsid w:val="002C6202"/>
    <w:rsid w:val="002C68EF"/>
    <w:rsid w:val="002C6931"/>
    <w:rsid w:val="002D0656"/>
    <w:rsid w:val="002D31ED"/>
    <w:rsid w:val="002D3417"/>
    <w:rsid w:val="002D45D0"/>
    <w:rsid w:val="002D45D1"/>
    <w:rsid w:val="002D5A6D"/>
    <w:rsid w:val="002D625A"/>
    <w:rsid w:val="002D6B4A"/>
    <w:rsid w:val="002D74F5"/>
    <w:rsid w:val="002E0ED8"/>
    <w:rsid w:val="002E1D6F"/>
    <w:rsid w:val="002E27F7"/>
    <w:rsid w:val="002E2BAD"/>
    <w:rsid w:val="002E303D"/>
    <w:rsid w:val="002E3523"/>
    <w:rsid w:val="002E37F9"/>
    <w:rsid w:val="002E713E"/>
    <w:rsid w:val="002E7297"/>
    <w:rsid w:val="002E74F9"/>
    <w:rsid w:val="002F011E"/>
    <w:rsid w:val="002F1D1B"/>
    <w:rsid w:val="002F1EF7"/>
    <w:rsid w:val="002F220E"/>
    <w:rsid w:val="002F2BB4"/>
    <w:rsid w:val="002F3251"/>
    <w:rsid w:val="002F3314"/>
    <w:rsid w:val="002F3444"/>
    <w:rsid w:val="002F37D3"/>
    <w:rsid w:val="002F3950"/>
    <w:rsid w:val="002F6AEF"/>
    <w:rsid w:val="002F6E6C"/>
    <w:rsid w:val="003005E4"/>
    <w:rsid w:val="00301076"/>
    <w:rsid w:val="003012B3"/>
    <w:rsid w:val="003016BA"/>
    <w:rsid w:val="003016E2"/>
    <w:rsid w:val="003020F7"/>
    <w:rsid w:val="0030401F"/>
    <w:rsid w:val="003041DB"/>
    <w:rsid w:val="00304B0A"/>
    <w:rsid w:val="00306479"/>
    <w:rsid w:val="00310618"/>
    <w:rsid w:val="00311C76"/>
    <w:rsid w:val="00312FC5"/>
    <w:rsid w:val="00313237"/>
    <w:rsid w:val="00314125"/>
    <w:rsid w:val="00314362"/>
    <w:rsid w:val="003147CB"/>
    <w:rsid w:val="0031494C"/>
    <w:rsid w:val="003154A5"/>
    <w:rsid w:val="00315CC3"/>
    <w:rsid w:val="003202B7"/>
    <w:rsid w:val="00320547"/>
    <w:rsid w:val="003206A7"/>
    <w:rsid w:val="0032350C"/>
    <w:rsid w:val="00324C9B"/>
    <w:rsid w:val="00325437"/>
    <w:rsid w:val="003259C7"/>
    <w:rsid w:val="00326190"/>
    <w:rsid w:val="00326849"/>
    <w:rsid w:val="00326BFC"/>
    <w:rsid w:val="00327955"/>
    <w:rsid w:val="003311B3"/>
    <w:rsid w:val="00331804"/>
    <w:rsid w:val="0033188F"/>
    <w:rsid w:val="0033220A"/>
    <w:rsid w:val="00333133"/>
    <w:rsid w:val="0033420F"/>
    <w:rsid w:val="0033458B"/>
    <w:rsid w:val="00334DC1"/>
    <w:rsid w:val="00336A03"/>
    <w:rsid w:val="0033721C"/>
    <w:rsid w:val="00341114"/>
    <w:rsid w:val="00341BC9"/>
    <w:rsid w:val="00341FC5"/>
    <w:rsid w:val="00342932"/>
    <w:rsid w:val="003438AC"/>
    <w:rsid w:val="00343A91"/>
    <w:rsid w:val="00343BD1"/>
    <w:rsid w:val="00343C41"/>
    <w:rsid w:val="00345F69"/>
    <w:rsid w:val="003470F9"/>
    <w:rsid w:val="0034751F"/>
    <w:rsid w:val="003476DF"/>
    <w:rsid w:val="003477D1"/>
    <w:rsid w:val="00347A94"/>
    <w:rsid w:val="00347AF4"/>
    <w:rsid w:val="00350E3A"/>
    <w:rsid w:val="00351856"/>
    <w:rsid w:val="00351FF2"/>
    <w:rsid w:val="0035239A"/>
    <w:rsid w:val="00352872"/>
    <w:rsid w:val="003549AE"/>
    <w:rsid w:val="0035565C"/>
    <w:rsid w:val="00356605"/>
    <w:rsid w:val="00357B59"/>
    <w:rsid w:val="0036062E"/>
    <w:rsid w:val="00360CF4"/>
    <w:rsid w:val="0036169A"/>
    <w:rsid w:val="00363508"/>
    <w:rsid w:val="00363985"/>
    <w:rsid w:val="00363AFC"/>
    <w:rsid w:val="00364DD5"/>
    <w:rsid w:val="0036585D"/>
    <w:rsid w:val="00365EB0"/>
    <w:rsid w:val="00366A65"/>
    <w:rsid w:val="00366BDE"/>
    <w:rsid w:val="00366D4C"/>
    <w:rsid w:val="00367FD9"/>
    <w:rsid w:val="00370A4F"/>
    <w:rsid w:val="00372AE4"/>
    <w:rsid w:val="00372DF3"/>
    <w:rsid w:val="00373263"/>
    <w:rsid w:val="00373346"/>
    <w:rsid w:val="00374423"/>
    <w:rsid w:val="00374E5D"/>
    <w:rsid w:val="00375658"/>
    <w:rsid w:val="003757EA"/>
    <w:rsid w:val="00375D76"/>
    <w:rsid w:val="003765CC"/>
    <w:rsid w:val="00377B66"/>
    <w:rsid w:val="00380869"/>
    <w:rsid w:val="00380A06"/>
    <w:rsid w:val="00381B61"/>
    <w:rsid w:val="00381F22"/>
    <w:rsid w:val="00382B90"/>
    <w:rsid w:val="00382F42"/>
    <w:rsid w:val="00383E77"/>
    <w:rsid w:val="00384A66"/>
    <w:rsid w:val="0038561E"/>
    <w:rsid w:val="00393239"/>
    <w:rsid w:val="003956CD"/>
    <w:rsid w:val="0039627F"/>
    <w:rsid w:val="00396523"/>
    <w:rsid w:val="00397843"/>
    <w:rsid w:val="00397DD6"/>
    <w:rsid w:val="003A05BA"/>
    <w:rsid w:val="003A1D07"/>
    <w:rsid w:val="003A23D8"/>
    <w:rsid w:val="003A315A"/>
    <w:rsid w:val="003A3840"/>
    <w:rsid w:val="003A38FE"/>
    <w:rsid w:val="003A3998"/>
    <w:rsid w:val="003A3A5A"/>
    <w:rsid w:val="003A3EC6"/>
    <w:rsid w:val="003A3FC8"/>
    <w:rsid w:val="003A53D8"/>
    <w:rsid w:val="003A5A98"/>
    <w:rsid w:val="003A66B4"/>
    <w:rsid w:val="003B168E"/>
    <w:rsid w:val="003B1DA1"/>
    <w:rsid w:val="003B30AC"/>
    <w:rsid w:val="003B3FD3"/>
    <w:rsid w:val="003B482B"/>
    <w:rsid w:val="003B6848"/>
    <w:rsid w:val="003B69F5"/>
    <w:rsid w:val="003B6C29"/>
    <w:rsid w:val="003C02B0"/>
    <w:rsid w:val="003C06AA"/>
    <w:rsid w:val="003C2089"/>
    <w:rsid w:val="003C3C06"/>
    <w:rsid w:val="003C557C"/>
    <w:rsid w:val="003C571D"/>
    <w:rsid w:val="003C744D"/>
    <w:rsid w:val="003D066D"/>
    <w:rsid w:val="003D1B7F"/>
    <w:rsid w:val="003D1CEE"/>
    <w:rsid w:val="003D23DE"/>
    <w:rsid w:val="003D2B8F"/>
    <w:rsid w:val="003D3863"/>
    <w:rsid w:val="003D3B33"/>
    <w:rsid w:val="003D56A4"/>
    <w:rsid w:val="003D6441"/>
    <w:rsid w:val="003D693D"/>
    <w:rsid w:val="003D6E8E"/>
    <w:rsid w:val="003D7413"/>
    <w:rsid w:val="003E01B0"/>
    <w:rsid w:val="003E046D"/>
    <w:rsid w:val="003E08E1"/>
    <w:rsid w:val="003E1B5D"/>
    <w:rsid w:val="003E37DA"/>
    <w:rsid w:val="003E3FC5"/>
    <w:rsid w:val="003E445B"/>
    <w:rsid w:val="003E455E"/>
    <w:rsid w:val="003E476C"/>
    <w:rsid w:val="003E53FF"/>
    <w:rsid w:val="003E55A1"/>
    <w:rsid w:val="003E5C11"/>
    <w:rsid w:val="003F0299"/>
    <w:rsid w:val="003F2039"/>
    <w:rsid w:val="003F2873"/>
    <w:rsid w:val="003F2965"/>
    <w:rsid w:val="003F30F3"/>
    <w:rsid w:val="003F3A9D"/>
    <w:rsid w:val="003F5B39"/>
    <w:rsid w:val="003F631F"/>
    <w:rsid w:val="003F6E93"/>
    <w:rsid w:val="003F7008"/>
    <w:rsid w:val="003F7502"/>
    <w:rsid w:val="003F7DAD"/>
    <w:rsid w:val="004008DE"/>
    <w:rsid w:val="00400A97"/>
    <w:rsid w:val="004018DC"/>
    <w:rsid w:val="00401A7A"/>
    <w:rsid w:val="004022BD"/>
    <w:rsid w:val="004023C6"/>
    <w:rsid w:val="00402625"/>
    <w:rsid w:val="00403318"/>
    <w:rsid w:val="00403A2E"/>
    <w:rsid w:val="00403CA1"/>
    <w:rsid w:val="00403EC4"/>
    <w:rsid w:val="004058E4"/>
    <w:rsid w:val="00405E4E"/>
    <w:rsid w:val="00406B48"/>
    <w:rsid w:val="00406C05"/>
    <w:rsid w:val="00407F9F"/>
    <w:rsid w:val="00410724"/>
    <w:rsid w:val="004112A3"/>
    <w:rsid w:val="00411329"/>
    <w:rsid w:val="004122A8"/>
    <w:rsid w:val="0041237F"/>
    <w:rsid w:val="00413AFE"/>
    <w:rsid w:val="004146D3"/>
    <w:rsid w:val="004151D1"/>
    <w:rsid w:val="004154CA"/>
    <w:rsid w:val="00415765"/>
    <w:rsid w:val="00415C79"/>
    <w:rsid w:val="00417644"/>
    <w:rsid w:val="004201FB"/>
    <w:rsid w:val="004208F4"/>
    <w:rsid w:val="00420DD4"/>
    <w:rsid w:val="004220C6"/>
    <w:rsid w:val="004223EE"/>
    <w:rsid w:val="00422D4E"/>
    <w:rsid w:val="004239B3"/>
    <w:rsid w:val="004244A2"/>
    <w:rsid w:val="0042570C"/>
    <w:rsid w:val="0042591F"/>
    <w:rsid w:val="004259DA"/>
    <w:rsid w:val="00425E30"/>
    <w:rsid w:val="004267C0"/>
    <w:rsid w:val="0042753E"/>
    <w:rsid w:val="0042782D"/>
    <w:rsid w:val="00431C68"/>
    <w:rsid w:val="004321FF"/>
    <w:rsid w:val="0043242F"/>
    <w:rsid w:val="00432A31"/>
    <w:rsid w:val="004333B0"/>
    <w:rsid w:val="00433A9E"/>
    <w:rsid w:val="00433F9B"/>
    <w:rsid w:val="00434A6B"/>
    <w:rsid w:val="0043612F"/>
    <w:rsid w:val="0043677D"/>
    <w:rsid w:val="00437382"/>
    <w:rsid w:val="00437A30"/>
    <w:rsid w:val="00437EFD"/>
    <w:rsid w:val="00441DA9"/>
    <w:rsid w:val="00442463"/>
    <w:rsid w:val="00445725"/>
    <w:rsid w:val="00447715"/>
    <w:rsid w:val="0045044B"/>
    <w:rsid w:val="00450CED"/>
    <w:rsid w:val="0045274E"/>
    <w:rsid w:val="0045335E"/>
    <w:rsid w:val="00453B5E"/>
    <w:rsid w:val="0045440C"/>
    <w:rsid w:val="004546E7"/>
    <w:rsid w:val="004556C4"/>
    <w:rsid w:val="00456839"/>
    <w:rsid w:val="00461D80"/>
    <w:rsid w:val="004621A7"/>
    <w:rsid w:val="0046259A"/>
    <w:rsid w:val="00463133"/>
    <w:rsid w:val="0046468C"/>
    <w:rsid w:val="00464967"/>
    <w:rsid w:val="0046509F"/>
    <w:rsid w:val="0046585A"/>
    <w:rsid w:val="0046778C"/>
    <w:rsid w:val="004714EC"/>
    <w:rsid w:val="004715AA"/>
    <w:rsid w:val="00471928"/>
    <w:rsid w:val="0047250E"/>
    <w:rsid w:val="004726DE"/>
    <w:rsid w:val="00473642"/>
    <w:rsid w:val="004748D9"/>
    <w:rsid w:val="004749F0"/>
    <w:rsid w:val="0047519F"/>
    <w:rsid w:val="00475844"/>
    <w:rsid w:val="00475D58"/>
    <w:rsid w:val="00476FDC"/>
    <w:rsid w:val="00477BC7"/>
    <w:rsid w:val="00477F3C"/>
    <w:rsid w:val="004805EB"/>
    <w:rsid w:val="00480B43"/>
    <w:rsid w:val="0048107F"/>
    <w:rsid w:val="00482335"/>
    <w:rsid w:val="00482E86"/>
    <w:rsid w:val="00483556"/>
    <w:rsid w:val="00483803"/>
    <w:rsid w:val="00485399"/>
    <w:rsid w:val="00486A79"/>
    <w:rsid w:val="00486F84"/>
    <w:rsid w:val="0049387D"/>
    <w:rsid w:val="00493D91"/>
    <w:rsid w:val="00493F63"/>
    <w:rsid w:val="004954F9"/>
    <w:rsid w:val="00495EA7"/>
    <w:rsid w:val="0049691C"/>
    <w:rsid w:val="004969C5"/>
    <w:rsid w:val="00496C79"/>
    <w:rsid w:val="00497C4A"/>
    <w:rsid w:val="00497E64"/>
    <w:rsid w:val="004A1BAE"/>
    <w:rsid w:val="004A2219"/>
    <w:rsid w:val="004A3C88"/>
    <w:rsid w:val="004A3D27"/>
    <w:rsid w:val="004A3F59"/>
    <w:rsid w:val="004A48F5"/>
    <w:rsid w:val="004A4A94"/>
    <w:rsid w:val="004A5857"/>
    <w:rsid w:val="004A607E"/>
    <w:rsid w:val="004A7176"/>
    <w:rsid w:val="004B02DE"/>
    <w:rsid w:val="004B0634"/>
    <w:rsid w:val="004B0A2F"/>
    <w:rsid w:val="004B1F9B"/>
    <w:rsid w:val="004B2AB1"/>
    <w:rsid w:val="004B314C"/>
    <w:rsid w:val="004B3425"/>
    <w:rsid w:val="004B34BF"/>
    <w:rsid w:val="004B3E35"/>
    <w:rsid w:val="004B45E0"/>
    <w:rsid w:val="004B4ECA"/>
    <w:rsid w:val="004B50DF"/>
    <w:rsid w:val="004B519D"/>
    <w:rsid w:val="004B57D9"/>
    <w:rsid w:val="004B68AE"/>
    <w:rsid w:val="004B6C86"/>
    <w:rsid w:val="004B707F"/>
    <w:rsid w:val="004C0314"/>
    <w:rsid w:val="004C08EA"/>
    <w:rsid w:val="004C1ADE"/>
    <w:rsid w:val="004C2E26"/>
    <w:rsid w:val="004C2E90"/>
    <w:rsid w:val="004C2FF6"/>
    <w:rsid w:val="004C3432"/>
    <w:rsid w:val="004C3678"/>
    <w:rsid w:val="004C43B1"/>
    <w:rsid w:val="004C5AB6"/>
    <w:rsid w:val="004C66D5"/>
    <w:rsid w:val="004C74FF"/>
    <w:rsid w:val="004D08D9"/>
    <w:rsid w:val="004D2A74"/>
    <w:rsid w:val="004D32C3"/>
    <w:rsid w:val="004D4E1F"/>
    <w:rsid w:val="004D5CDD"/>
    <w:rsid w:val="004D6846"/>
    <w:rsid w:val="004D69FE"/>
    <w:rsid w:val="004D74FF"/>
    <w:rsid w:val="004D7F4E"/>
    <w:rsid w:val="004E0228"/>
    <w:rsid w:val="004E02AB"/>
    <w:rsid w:val="004E1068"/>
    <w:rsid w:val="004E111E"/>
    <w:rsid w:val="004E2980"/>
    <w:rsid w:val="004E324D"/>
    <w:rsid w:val="004E362B"/>
    <w:rsid w:val="004E3DA1"/>
    <w:rsid w:val="004E4BBD"/>
    <w:rsid w:val="004E4C1E"/>
    <w:rsid w:val="004E553F"/>
    <w:rsid w:val="004E5584"/>
    <w:rsid w:val="004E5C74"/>
    <w:rsid w:val="004E7AB4"/>
    <w:rsid w:val="004F0F9A"/>
    <w:rsid w:val="004F1BAD"/>
    <w:rsid w:val="004F5198"/>
    <w:rsid w:val="004F68E2"/>
    <w:rsid w:val="004F7849"/>
    <w:rsid w:val="00500EE9"/>
    <w:rsid w:val="005012B8"/>
    <w:rsid w:val="005017CA"/>
    <w:rsid w:val="00503723"/>
    <w:rsid w:val="005041FC"/>
    <w:rsid w:val="00505094"/>
    <w:rsid w:val="005055DB"/>
    <w:rsid w:val="00505728"/>
    <w:rsid w:val="00505B07"/>
    <w:rsid w:val="00506355"/>
    <w:rsid w:val="00506CC0"/>
    <w:rsid w:val="005071E3"/>
    <w:rsid w:val="005073CC"/>
    <w:rsid w:val="00507DB7"/>
    <w:rsid w:val="00507FD2"/>
    <w:rsid w:val="00510260"/>
    <w:rsid w:val="0051041F"/>
    <w:rsid w:val="005106C4"/>
    <w:rsid w:val="00511A49"/>
    <w:rsid w:val="005125EB"/>
    <w:rsid w:val="00513E5A"/>
    <w:rsid w:val="005159D6"/>
    <w:rsid w:val="005166AF"/>
    <w:rsid w:val="00520862"/>
    <w:rsid w:val="00520BD0"/>
    <w:rsid w:val="00520C98"/>
    <w:rsid w:val="005212A7"/>
    <w:rsid w:val="005215A5"/>
    <w:rsid w:val="005216B8"/>
    <w:rsid w:val="00521905"/>
    <w:rsid w:val="00523818"/>
    <w:rsid w:val="005247B3"/>
    <w:rsid w:val="00524F15"/>
    <w:rsid w:val="005252A5"/>
    <w:rsid w:val="005255B2"/>
    <w:rsid w:val="00525A06"/>
    <w:rsid w:val="00526022"/>
    <w:rsid w:val="00527144"/>
    <w:rsid w:val="0052732D"/>
    <w:rsid w:val="00527E95"/>
    <w:rsid w:val="00530FF7"/>
    <w:rsid w:val="00531175"/>
    <w:rsid w:val="0053124F"/>
    <w:rsid w:val="005322B6"/>
    <w:rsid w:val="005327AB"/>
    <w:rsid w:val="005328F6"/>
    <w:rsid w:val="00533F8A"/>
    <w:rsid w:val="00534400"/>
    <w:rsid w:val="00534BE3"/>
    <w:rsid w:val="00535FCA"/>
    <w:rsid w:val="0053600D"/>
    <w:rsid w:val="005366B6"/>
    <w:rsid w:val="00536726"/>
    <w:rsid w:val="00540166"/>
    <w:rsid w:val="00541242"/>
    <w:rsid w:val="00541BE3"/>
    <w:rsid w:val="0054339A"/>
    <w:rsid w:val="005439D8"/>
    <w:rsid w:val="005449EF"/>
    <w:rsid w:val="00545148"/>
    <w:rsid w:val="005460EF"/>
    <w:rsid w:val="00546489"/>
    <w:rsid w:val="00546536"/>
    <w:rsid w:val="005500A3"/>
    <w:rsid w:val="00550AA4"/>
    <w:rsid w:val="00550B6A"/>
    <w:rsid w:val="00550EFF"/>
    <w:rsid w:val="005520C4"/>
    <w:rsid w:val="00552B6F"/>
    <w:rsid w:val="00552B94"/>
    <w:rsid w:val="00552CC4"/>
    <w:rsid w:val="00552D99"/>
    <w:rsid w:val="0055430A"/>
    <w:rsid w:val="005559FD"/>
    <w:rsid w:val="005565BF"/>
    <w:rsid w:val="00556805"/>
    <w:rsid w:val="005602AD"/>
    <w:rsid w:val="00560E55"/>
    <w:rsid w:val="00561E0C"/>
    <w:rsid w:val="00562917"/>
    <w:rsid w:val="00564FE1"/>
    <w:rsid w:val="005664D4"/>
    <w:rsid w:val="00566657"/>
    <w:rsid w:val="0056758E"/>
    <w:rsid w:val="005675B2"/>
    <w:rsid w:val="005678EB"/>
    <w:rsid w:val="00570A71"/>
    <w:rsid w:val="00570E9F"/>
    <w:rsid w:val="00571422"/>
    <w:rsid w:val="005717AA"/>
    <w:rsid w:val="005720E5"/>
    <w:rsid w:val="005738C1"/>
    <w:rsid w:val="00573B48"/>
    <w:rsid w:val="005740B5"/>
    <w:rsid w:val="00574789"/>
    <w:rsid w:val="005751A8"/>
    <w:rsid w:val="0057647E"/>
    <w:rsid w:val="00577A58"/>
    <w:rsid w:val="00577D49"/>
    <w:rsid w:val="00580DC8"/>
    <w:rsid w:val="005811F8"/>
    <w:rsid w:val="00581768"/>
    <w:rsid w:val="00583AF7"/>
    <w:rsid w:val="00583C92"/>
    <w:rsid w:val="0058551F"/>
    <w:rsid w:val="00585749"/>
    <w:rsid w:val="00585BA5"/>
    <w:rsid w:val="00586003"/>
    <w:rsid w:val="0058692C"/>
    <w:rsid w:val="00586EC1"/>
    <w:rsid w:val="00587F0A"/>
    <w:rsid w:val="00590282"/>
    <w:rsid w:val="00591E78"/>
    <w:rsid w:val="005928C3"/>
    <w:rsid w:val="00592B1D"/>
    <w:rsid w:val="00592E6F"/>
    <w:rsid w:val="00592F61"/>
    <w:rsid w:val="005932B1"/>
    <w:rsid w:val="005933DC"/>
    <w:rsid w:val="005936C3"/>
    <w:rsid w:val="00593935"/>
    <w:rsid w:val="00594D85"/>
    <w:rsid w:val="00595383"/>
    <w:rsid w:val="005959D9"/>
    <w:rsid w:val="00595F7B"/>
    <w:rsid w:val="005960BB"/>
    <w:rsid w:val="00596F02"/>
    <w:rsid w:val="00597B51"/>
    <w:rsid w:val="005A0577"/>
    <w:rsid w:val="005A09C6"/>
    <w:rsid w:val="005A0CFB"/>
    <w:rsid w:val="005A14E1"/>
    <w:rsid w:val="005A1D64"/>
    <w:rsid w:val="005A1D78"/>
    <w:rsid w:val="005A2082"/>
    <w:rsid w:val="005A29C4"/>
    <w:rsid w:val="005A2A59"/>
    <w:rsid w:val="005A31CC"/>
    <w:rsid w:val="005A3F77"/>
    <w:rsid w:val="005A43D2"/>
    <w:rsid w:val="005A4567"/>
    <w:rsid w:val="005A465C"/>
    <w:rsid w:val="005A4D09"/>
    <w:rsid w:val="005A67C0"/>
    <w:rsid w:val="005A6BFA"/>
    <w:rsid w:val="005A7F31"/>
    <w:rsid w:val="005B10CF"/>
    <w:rsid w:val="005B15E2"/>
    <w:rsid w:val="005B231E"/>
    <w:rsid w:val="005B3562"/>
    <w:rsid w:val="005B37A0"/>
    <w:rsid w:val="005B3F84"/>
    <w:rsid w:val="005B4FA1"/>
    <w:rsid w:val="005B528B"/>
    <w:rsid w:val="005B59EE"/>
    <w:rsid w:val="005B61A4"/>
    <w:rsid w:val="005B6242"/>
    <w:rsid w:val="005B62AC"/>
    <w:rsid w:val="005B6662"/>
    <w:rsid w:val="005B6AD8"/>
    <w:rsid w:val="005B6E26"/>
    <w:rsid w:val="005B74E4"/>
    <w:rsid w:val="005C0428"/>
    <w:rsid w:val="005C06D6"/>
    <w:rsid w:val="005C09CF"/>
    <w:rsid w:val="005C1BCD"/>
    <w:rsid w:val="005C22DF"/>
    <w:rsid w:val="005C3A72"/>
    <w:rsid w:val="005C41DE"/>
    <w:rsid w:val="005C49B1"/>
    <w:rsid w:val="005C4E4E"/>
    <w:rsid w:val="005C517F"/>
    <w:rsid w:val="005D045E"/>
    <w:rsid w:val="005D1C94"/>
    <w:rsid w:val="005D41C6"/>
    <w:rsid w:val="005D4FDD"/>
    <w:rsid w:val="005D67A0"/>
    <w:rsid w:val="005E057C"/>
    <w:rsid w:val="005E1553"/>
    <w:rsid w:val="005E1BA9"/>
    <w:rsid w:val="005E3F02"/>
    <w:rsid w:val="005E40C3"/>
    <w:rsid w:val="005E78BD"/>
    <w:rsid w:val="005E7C4A"/>
    <w:rsid w:val="005E7D01"/>
    <w:rsid w:val="005E7D81"/>
    <w:rsid w:val="005F053E"/>
    <w:rsid w:val="005F12A1"/>
    <w:rsid w:val="005F237E"/>
    <w:rsid w:val="005F24A2"/>
    <w:rsid w:val="005F2CA6"/>
    <w:rsid w:val="005F47F2"/>
    <w:rsid w:val="005F4F11"/>
    <w:rsid w:val="005F598B"/>
    <w:rsid w:val="005F5A82"/>
    <w:rsid w:val="005F641D"/>
    <w:rsid w:val="005F6B8E"/>
    <w:rsid w:val="005F71F1"/>
    <w:rsid w:val="005F79A4"/>
    <w:rsid w:val="005F7B1D"/>
    <w:rsid w:val="0060126F"/>
    <w:rsid w:val="00601B87"/>
    <w:rsid w:val="006022A6"/>
    <w:rsid w:val="0060299B"/>
    <w:rsid w:val="00602CEC"/>
    <w:rsid w:val="006030D5"/>
    <w:rsid w:val="0060541D"/>
    <w:rsid w:val="0060593B"/>
    <w:rsid w:val="0060624A"/>
    <w:rsid w:val="00607414"/>
    <w:rsid w:val="00612764"/>
    <w:rsid w:val="0061480E"/>
    <w:rsid w:val="00614936"/>
    <w:rsid w:val="00614A8C"/>
    <w:rsid w:val="00614C4D"/>
    <w:rsid w:val="0061750A"/>
    <w:rsid w:val="00617C04"/>
    <w:rsid w:val="00621A7A"/>
    <w:rsid w:val="00621AEC"/>
    <w:rsid w:val="0062248A"/>
    <w:rsid w:val="00622DF5"/>
    <w:rsid w:val="00623380"/>
    <w:rsid w:val="00623556"/>
    <w:rsid w:val="0062373E"/>
    <w:rsid w:val="00623753"/>
    <w:rsid w:val="0062442A"/>
    <w:rsid w:val="00624F31"/>
    <w:rsid w:val="0062576F"/>
    <w:rsid w:val="00625A0A"/>
    <w:rsid w:val="00625B3E"/>
    <w:rsid w:val="00625E92"/>
    <w:rsid w:val="006260DE"/>
    <w:rsid w:val="006267C5"/>
    <w:rsid w:val="00626C0D"/>
    <w:rsid w:val="00626E57"/>
    <w:rsid w:val="006308B4"/>
    <w:rsid w:val="00630A02"/>
    <w:rsid w:val="00630BBE"/>
    <w:rsid w:val="006329C7"/>
    <w:rsid w:val="00632D15"/>
    <w:rsid w:val="00633611"/>
    <w:rsid w:val="006337FD"/>
    <w:rsid w:val="006344EB"/>
    <w:rsid w:val="00634D25"/>
    <w:rsid w:val="00635E66"/>
    <w:rsid w:val="006361EA"/>
    <w:rsid w:val="006362C0"/>
    <w:rsid w:val="0063668E"/>
    <w:rsid w:val="00636D2A"/>
    <w:rsid w:val="00637497"/>
    <w:rsid w:val="00637547"/>
    <w:rsid w:val="00641367"/>
    <w:rsid w:val="00641BF3"/>
    <w:rsid w:val="00642EDC"/>
    <w:rsid w:val="006436ED"/>
    <w:rsid w:val="00643C7C"/>
    <w:rsid w:val="00645393"/>
    <w:rsid w:val="00645C55"/>
    <w:rsid w:val="006466B7"/>
    <w:rsid w:val="00646A19"/>
    <w:rsid w:val="00647181"/>
    <w:rsid w:val="0064753B"/>
    <w:rsid w:val="00647AA2"/>
    <w:rsid w:val="006500E5"/>
    <w:rsid w:val="00650439"/>
    <w:rsid w:val="0065054D"/>
    <w:rsid w:val="00650978"/>
    <w:rsid w:val="006509CD"/>
    <w:rsid w:val="006513D0"/>
    <w:rsid w:val="00652AB9"/>
    <w:rsid w:val="00652BFC"/>
    <w:rsid w:val="006533BD"/>
    <w:rsid w:val="00653470"/>
    <w:rsid w:val="006541D3"/>
    <w:rsid w:val="00654342"/>
    <w:rsid w:val="0065614E"/>
    <w:rsid w:val="0065652D"/>
    <w:rsid w:val="00657EB6"/>
    <w:rsid w:val="006603C8"/>
    <w:rsid w:val="00660B29"/>
    <w:rsid w:val="00660E1F"/>
    <w:rsid w:val="00662A6B"/>
    <w:rsid w:val="00662BCD"/>
    <w:rsid w:val="00663304"/>
    <w:rsid w:val="00663A22"/>
    <w:rsid w:val="0066409D"/>
    <w:rsid w:val="00664F37"/>
    <w:rsid w:val="00665424"/>
    <w:rsid w:val="0066550D"/>
    <w:rsid w:val="00665D51"/>
    <w:rsid w:val="00666A69"/>
    <w:rsid w:val="00667B0D"/>
    <w:rsid w:val="00670D15"/>
    <w:rsid w:val="00670D99"/>
    <w:rsid w:val="00671013"/>
    <w:rsid w:val="00671AC3"/>
    <w:rsid w:val="0067228B"/>
    <w:rsid w:val="006734C9"/>
    <w:rsid w:val="00674944"/>
    <w:rsid w:val="0067539D"/>
    <w:rsid w:val="006761F4"/>
    <w:rsid w:val="00676AF1"/>
    <w:rsid w:val="00677150"/>
    <w:rsid w:val="00677828"/>
    <w:rsid w:val="006779E0"/>
    <w:rsid w:val="00680E03"/>
    <w:rsid w:val="00681EC9"/>
    <w:rsid w:val="006824F4"/>
    <w:rsid w:val="006827DB"/>
    <w:rsid w:val="006831A1"/>
    <w:rsid w:val="00684076"/>
    <w:rsid w:val="00684340"/>
    <w:rsid w:val="00684C08"/>
    <w:rsid w:val="00684D2E"/>
    <w:rsid w:val="00686015"/>
    <w:rsid w:val="0068658C"/>
    <w:rsid w:val="00686803"/>
    <w:rsid w:val="00687347"/>
    <w:rsid w:val="00687A49"/>
    <w:rsid w:val="006914A9"/>
    <w:rsid w:val="00691660"/>
    <w:rsid w:val="006927E2"/>
    <w:rsid w:val="00692FED"/>
    <w:rsid w:val="0069340E"/>
    <w:rsid w:val="00694C96"/>
    <w:rsid w:val="006953CB"/>
    <w:rsid w:val="006964ED"/>
    <w:rsid w:val="006A020F"/>
    <w:rsid w:val="006A0D45"/>
    <w:rsid w:val="006A1202"/>
    <w:rsid w:val="006A1518"/>
    <w:rsid w:val="006A1EFE"/>
    <w:rsid w:val="006A200A"/>
    <w:rsid w:val="006A2824"/>
    <w:rsid w:val="006A2A42"/>
    <w:rsid w:val="006A37E6"/>
    <w:rsid w:val="006A437E"/>
    <w:rsid w:val="006A4526"/>
    <w:rsid w:val="006A55C3"/>
    <w:rsid w:val="006A63A4"/>
    <w:rsid w:val="006A6FDB"/>
    <w:rsid w:val="006A70AE"/>
    <w:rsid w:val="006A70CE"/>
    <w:rsid w:val="006B0A09"/>
    <w:rsid w:val="006B1A5E"/>
    <w:rsid w:val="006B1F63"/>
    <w:rsid w:val="006B2689"/>
    <w:rsid w:val="006B4347"/>
    <w:rsid w:val="006B438A"/>
    <w:rsid w:val="006B4853"/>
    <w:rsid w:val="006B5EB6"/>
    <w:rsid w:val="006B63F1"/>
    <w:rsid w:val="006B72BF"/>
    <w:rsid w:val="006B7D00"/>
    <w:rsid w:val="006C0986"/>
    <w:rsid w:val="006C1052"/>
    <w:rsid w:val="006C145E"/>
    <w:rsid w:val="006C1DBF"/>
    <w:rsid w:val="006C2DE4"/>
    <w:rsid w:val="006C32BA"/>
    <w:rsid w:val="006C3E46"/>
    <w:rsid w:val="006C479C"/>
    <w:rsid w:val="006C518D"/>
    <w:rsid w:val="006C58DE"/>
    <w:rsid w:val="006C5AB9"/>
    <w:rsid w:val="006C6147"/>
    <w:rsid w:val="006C63E9"/>
    <w:rsid w:val="006C6EF4"/>
    <w:rsid w:val="006C701F"/>
    <w:rsid w:val="006C70B7"/>
    <w:rsid w:val="006C7928"/>
    <w:rsid w:val="006C7CCE"/>
    <w:rsid w:val="006C7D5A"/>
    <w:rsid w:val="006D34A6"/>
    <w:rsid w:val="006D5C69"/>
    <w:rsid w:val="006D6C09"/>
    <w:rsid w:val="006D70F1"/>
    <w:rsid w:val="006E02A8"/>
    <w:rsid w:val="006E1CC4"/>
    <w:rsid w:val="006E1F3A"/>
    <w:rsid w:val="006E36CD"/>
    <w:rsid w:val="006E39E5"/>
    <w:rsid w:val="006E3F39"/>
    <w:rsid w:val="006E4B23"/>
    <w:rsid w:val="006E5226"/>
    <w:rsid w:val="006E58A0"/>
    <w:rsid w:val="006E63D3"/>
    <w:rsid w:val="006E7636"/>
    <w:rsid w:val="006E7CCB"/>
    <w:rsid w:val="006F011A"/>
    <w:rsid w:val="006F054D"/>
    <w:rsid w:val="006F07A5"/>
    <w:rsid w:val="006F18D2"/>
    <w:rsid w:val="006F28A8"/>
    <w:rsid w:val="006F2D95"/>
    <w:rsid w:val="006F4071"/>
    <w:rsid w:val="006F51DA"/>
    <w:rsid w:val="006F578B"/>
    <w:rsid w:val="006F5F39"/>
    <w:rsid w:val="006F60DD"/>
    <w:rsid w:val="006F64E5"/>
    <w:rsid w:val="006F6F6C"/>
    <w:rsid w:val="006F708D"/>
    <w:rsid w:val="006F77B0"/>
    <w:rsid w:val="00700591"/>
    <w:rsid w:val="00700602"/>
    <w:rsid w:val="00701642"/>
    <w:rsid w:val="00702FE4"/>
    <w:rsid w:val="00703B85"/>
    <w:rsid w:val="0070598E"/>
    <w:rsid w:val="007062AC"/>
    <w:rsid w:val="0070654C"/>
    <w:rsid w:val="007074D4"/>
    <w:rsid w:val="007076A0"/>
    <w:rsid w:val="00707A66"/>
    <w:rsid w:val="00707B7C"/>
    <w:rsid w:val="00711223"/>
    <w:rsid w:val="00711421"/>
    <w:rsid w:val="00711655"/>
    <w:rsid w:val="007127E6"/>
    <w:rsid w:val="00712BB0"/>
    <w:rsid w:val="00712C52"/>
    <w:rsid w:val="00713993"/>
    <w:rsid w:val="00713E69"/>
    <w:rsid w:val="00714295"/>
    <w:rsid w:val="00714885"/>
    <w:rsid w:val="00714C86"/>
    <w:rsid w:val="00715AD1"/>
    <w:rsid w:val="00715C4D"/>
    <w:rsid w:val="00717047"/>
    <w:rsid w:val="0071724C"/>
    <w:rsid w:val="007206E9"/>
    <w:rsid w:val="00720E17"/>
    <w:rsid w:val="00721F10"/>
    <w:rsid w:val="00722198"/>
    <w:rsid w:val="0072239A"/>
    <w:rsid w:val="0072380D"/>
    <w:rsid w:val="0072385D"/>
    <w:rsid w:val="00723D4A"/>
    <w:rsid w:val="00723E71"/>
    <w:rsid w:val="00724507"/>
    <w:rsid w:val="00724915"/>
    <w:rsid w:val="00724ED4"/>
    <w:rsid w:val="007258C0"/>
    <w:rsid w:val="00726981"/>
    <w:rsid w:val="00726C6C"/>
    <w:rsid w:val="00727281"/>
    <w:rsid w:val="00727C75"/>
    <w:rsid w:val="007302D2"/>
    <w:rsid w:val="00730E79"/>
    <w:rsid w:val="0073196F"/>
    <w:rsid w:val="00732602"/>
    <w:rsid w:val="00732B9D"/>
    <w:rsid w:val="00732F63"/>
    <w:rsid w:val="00732F82"/>
    <w:rsid w:val="00733DE3"/>
    <w:rsid w:val="00735EBD"/>
    <w:rsid w:val="00736204"/>
    <w:rsid w:val="00736BF3"/>
    <w:rsid w:val="007379EB"/>
    <w:rsid w:val="00737B23"/>
    <w:rsid w:val="00740E33"/>
    <w:rsid w:val="00741870"/>
    <w:rsid w:val="00742CFD"/>
    <w:rsid w:val="00742E2E"/>
    <w:rsid w:val="007442BD"/>
    <w:rsid w:val="00744520"/>
    <w:rsid w:val="00745206"/>
    <w:rsid w:val="0074651C"/>
    <w:rsid w:val="00746BE9"/>
    <w:rsid w:val="00746DC1"/>
    <w:rsid w:val="00750DFF"/>
    <w:rsid w:val="00750EC9"/>
    <w:rsid w:val="00752791"/>
    <w:rsid w:val="00752E74"/>
    <w:rsid w:val="00752F2E"/>
    <w:rsid w:val="00754375"/>
    <w:rsid w:val="007544D0"/>
    <w:rsid w:val="00754AA9"/>
    <w:rsid w:val="0075621A"/>
    <w:rsid w:val="007563B9"/>
    <w:rsid w:val="00756BF6"/>
    <w:rsid w:val="00756EDA"/>
    <w:rsid w:val="0075702E"/>
    <w:rsid w:val="0075735F"/>
    <w:rsid w:val="00760374"/>
    <w:rsid w:val="007604ED"/>
    <w:rsid w:val="00760842"/>
    <w:rsid w:val="007618CF"/>
    <w:rsid w:val="00762A7D"/>
    <w:rsid w:val="00765DAF"/>
    <w:rsid w:val="00766E63"/>
    <w:rsid w:val="0076781B"/>
    <w:rsid w:val="00770AD3"/>
    <w:rsid w:val="00770B34"/>
    <w:rsid w:val="00771C3D"/>
    <w:rsid w:val="007720FA"/>
    <w:rsid w:val="00772253"/>
    <w:rsid w:val="00772381"/>
    <w:rsid w:val="00772AB1"/>
    <w:rsid w:val="00772F19"/>
    <w:rsid w:val="00774D03"/>
    <w:rsid w:val="00775C75"/>
    <w:rsid w:val="00776724"/>
    <w:rsid w:val="007768D4"/>
    <w:rsid w:val="0077698D"/>
    <w:rsid w:val="0077784E"/>
    <w:rsid w:val="00781C49"/>
    <w:rsid w:val="00782CAE"/>
    <w:rsid w:val="00783261"/>
    <w:rsid w:val="007838E5"/>
    <w:rsid w:val="007839FB"/>
    <w:rsid w:val="00783A21"/>
    <w:rsid w:val="00784880"/>
    <w:rsid w:val="00784CA6"/>
    <w:rsid w:val="0078511E"/>
    <w:rsid w:val="00785199"/>
    <w:rsid w:val="007863E0"/>
    <w:rsid w:val="00786455"/>
    <w:rsid w:val="00786ADE"/>
    <w:rsid w:val="00786CD4"/>
    <w:rsid w:val="00787287"/>
    <w:rsid w:val="00787ACD"/>
    <w:rsid w:val="00787DB5"/>
    <w:rsid w:val="00787EA6"/>
    <w:rsid w:val="00790A45"/>
    <w:rsid w:val="0079140D"/>
    <w:rsid w:val="0079246C"/>
    <w:rsid w:val="00792958"/>
    <w:rsid w:val="00792D62"/>
    <w:rsid w:val="00793553"/>
    <w:rsid w:val="0079440F"/>
    <w:rsid w:val="007946B3"/>
    <w:rsid w:val="00794F64"/>
    <w:rsid w:val="00796D35"/>
    <w:rsid w:val="007971E3"/>
    <w:rsid w:val="00797387"/>
    <w:rsid w:val="00797517"/>
    <w:rsid w:val="00797955"/>
    <w:rsid w:val="007A0007"/>
    <w:rsid w:val="007A0C24"/>
    <w:rsid w:val="007A0F8E"/>
    <w:rsid w:val="007A11C1"/>
    <w:rsid w:val="007A2024"/>
    <w:rsid w:val="007A3D8B"/>
    <w:rsid w:val="007A4095"/>
    <w:rsid w:val="007A41B7"/>
    <w:rsid w:val="007A5D2D"/>
    <w:rsid w:val="007A5DA6"/>
    <w:rsid w:val="007A5E21"/>
    <w:rsid w:val="007A689A"/>
    <w:rsid w:val="007A6D23"/>
    <w:rsid w:val="007A7997"/>
    <w:rsid w:val="007B0881"/>
    <w:rsid w:val="007B16FE"/>
    <w:rsid w:val="007B1EC5"/>
    <w:rsid w:val="007B2592"/>
    <w:rsid w:val="007B32B7"/>
    <w:rsid w:val="007B33D8"/>
    <w:rsid w:val="007B3AA3"/>
    <w:rsid w:val="007B42D5"/>
    <w:rsid w:val="007B4E71"/>
    <w:rsid w:val="007B5285"/>
    <w:rsid w:val="007B52EC"/>
    <w:rsid w:val="007B6A33"/>
    <w:rsid w:val="007B73B9"/>
    <w:rsid w:val="007C0FC6"/>
    <w:rsid w:val="007C1CB1"/>
    <w:rsid w:val="007C1DAA"/>
    <w:rsid w:val="007C2077"/>
    <w:rsid w:val="007C2AB1"/>
    <w:rsid w:val="007C323B"/>
    <w:rsid w:val="007C42A1"/>
    <w:rsid w:val="007C4811"/>
    <w:rsid w:val="007C4F57"/>
    <w:rsid w:val="007C5589"/>
    <w:rsid w:val="007C67E7"/>
    <w:rsid w:val="007C71EC"/>
    <w:rsid w:val="007D135C"/>
    <w:rsid w:val="007D2059"/>
    <w:rsid w:val="007D2250"/>
    <w:rsid w:val="007D2508"/>
    <w:rsid w:val="007D27E5"/>
    <w:rsid w:val="007D330B"/>
    <w:rsid w:val="007D3B9C"/>
    <w:rsid w:val="007D4D6E"/>
    <w:rsid w:val="007D5001"/>
    <w:rsid w:val="007D53F4"/>
    <w:rsid w:val="007D6186"/>
    <w:rsid w:val="007E0104"/>
    <w:rsid w:val="007E0F76"/>
    <w:rsid w:val="007E1356"/>
    <w:rsid w:val="007E1F08"/>
    <w:rsid w:val="007E29AE"/>
    <w:rsid w:val="007E4878"/>
    <w:rsid w:val="007E52F0"/>
    <w:rsid w:val="007E533C"/>
    <w:rsid w:val="007E6079"/>
    <w:rsid w:val="007E7F96"/>
    <w:rsid w:val="007F0D59"/>
    <w:rsid w:val="007F0E57"/>
    <w:rsid w:val="007F13D3"/>
    <w:rsid w:val="007F3FB4"/>
    <w:rsid w:val="007F458D"/>
    <w:rsid w:val="007F45CF"/>
    <w:rsid w:val="007F4FBC"/>
    <w:rsid w:val="007F6893"/>
    <w:rsid w:val="007F7C27"/>
    <w:rsid w:val="00801341"/>
    <w:rsid w:val="008033C3"/>
    <w:rsid w:val="00803D20"/>
    <w:rsid w:val="008056CA"/>
    <w:rsid w:val="0080571B"/>
    <w:rsid w:val="00805B7B"/>
    <w:rsid w:val="0080695F"/>
    <w:rsid w:val="00807344"/>
    <w:rsid w:val="008076EE"/>
    <w:rsid w:val="00810385"/>
    <w:rsid w:val="008110D7"/>
    <w:rsid w:val="00811885"/>
    <w:rsid w:val="0081261A"/>
    <w:rsid w:val="008128FD"/>
    <w:rsid w:val="00814E30"/>
    <w:rsid w:val="00815E2B"/>
    <w:rsid w:val="008177D8"/>
    <w:rsid w:val="0082180D"/>
    <w:rsid w:val="00821E11"/>
    <w:rsid w:val="008227FD"/>
    <w:rsid w:val="00822E8F"/>
    <w:rsid w:val="00823622"/>
    <w:rsid w:val="008237B8"/>
    <w:rsid w:val="008255A8"/>
    <w:rsid w:val="00825713"/>
    <w:rsid w:val="008259D0"/>
    <w:rsid w:val="008264ED"/>
    <w:rsid w:val="00830316"/>
    <w:rsid w:val="008313C6"/>
    <w:rsid w:val="00831441"/>
    <w:rsid w:val="00831806"/>
    <w:rsid w:val="008318B5"/>
    <w:rsid w:val="00832151"/>
    <w:rsid w:val="0083278C"/>
    <w:rsid w:val="008331C1"/>
    <w:rsid w:val="00834A8B"/>
    <w:rsid w:val="00835732"/>
    <w:rsid w:val="00836272"/>
    <w:rsid w:val="00840C5D"/>
    <w:rsid w:val="00840F68"/>
    <w:rsid w:val="008412AA"/>
    <w:rsid w:val="0084164E"/>
    <w:rsid w:val="00841B5B"/>
    <w:rsid w:val="00841C45"/>
    <w:rsid w:val="00842337"/>
    <w:rsid w:val="0084315E"/>
    <w:rsid w:val="0084335E"/>
    <w:rsid w:val="008434CB"/>
    <w:rsid w:val="00843C8C"/>
    <w:rsid w:val="00843EAB"/>
    <w:rsid w:val="00844D41"/>
    <w:rsid w:val="008455C7"/>
    <w:rsid w:val="008469DC"/>
    <w:rsid w:val="008473DA"/>
    <w:rsid w:val="00847A4B"/>
    <w:rsid w:val="008508F8"/>
    <w:rsid w:val="00850B20"/>
    <w:rsid w:val="00851818"/>
    <w:rsid w:val="00851EFB"/>
    <w:rsid w:val="0085290C"/>
    <w:rsid w:val="00852A4A"/>
    <w:rsid w:val="0085337C"/>
    <w:rsid w:val="00854BF0"/>
    <w:rsid w:val="00856757"/>
    <w:rsid w:val="00856997"/>
    <w:rsid w:val="00856F3A"/>
    <w:rsid w:val="0085735F"/>
    <w:rsid w:val="0085745A"/>
    <w:rsid w:val="00857D10"/>
    <w:rsid w:val="0086064F"/>
    <w:rsid w:val="008606E2"/>
    <w:rsid w:val="00860A5C"/>
    <w:rsid w:val="0086128B"/>
    <w:rsid w:val="00862125"/>
    <w:rsid w:val="00862334"/>
    <w:rsid w:val="008633CF"/>
    <w:rsid w:val="0086419C"/>
    <w:rsid w:val="00865047"/>
    <w:rsid w:val="008651A6"/>
    <w:rsid w:val="00866428"/>
    <w:rsid w:val="008678DD"/>
    <w:rsid w:val="008679A0"/>
    <w:rsid w:val="00867C21"/>
    <w:rsid w:val="0087119C"/>
    <w:rsid w:val="0087233E"/>
    <w:rsid w:val="008726AF"/>
    <w:rsid w:val="00873983"/>
    <w:rsid w:val="0087412D"/>
    <w:rsid w:val="00874725"/>
    <w:rsid w:val="0087474D"/>
    <w:rsid w:val="00874A23"/>
    <w:rsid w:val="00874DA4"/>
    <w:rsid w:val="00875D62"/>
    <w:rsid w:val="0087687F"/>
    <w:rsid w:val="0087694F"/>
    <w:rsid w:val="00876E87"/>
    <w:rsid w:val="008771E0"/>
    <w:rsid w:val="00877629"/>
    <w:rsid w:val="008805FB"/>
    <w:rsid w:val="008806E5"/>
    <w:rsid w:val="00880C4E"/>
    <w:rsid w:val="00881972"/>
    <w:rsid w:val="008822E3"/>
    <w:rsid w:val="00882CB2"/>
    <w:rsid w:val="00882F65"/>
    <w:rsid w:val="00883CE5"/>
    <w:rsid w:val="00884029"/>
    <w:rsid w:val="0088624B"/>
    <w:rsid w:val="00886740"/>
    <w:rsid w:val="008867FC"/>
    <w:rsid w:val="00886F53"/>
    <w:rsid w:val="008870D5"/>
    <w:rsid w:val="008908A5"/>
    <w:rsid w:val="00890FE7"/>
    <w:rsid w:val="008922C5"/>
    <w:rsid w:val="00892A6F"/>
    <w:rsid w:val="008938E6"/>
    <w:rsid w:val="00893CB1"/>
    <w:rsid w:val="00893E23"/>
    <w:rsid w:val="008946BF"/>
    <w:rsid w:val="00895034"/>
    <w:rsid w:val="00895289"/>
    <w:rsid w:val="008978F2"/>
    <w:rsid w:val="00897A85"/>
    <w:rsid w:val="008A2251"/>
    <w:rsid w:val="008A3B5B"/>
    <w:rsid w:val="008A4123"/>
    <w:rsid w:val="008A45F6"/>
    <w:rsid w:val="008A5753"/>
    <w:rsid w:val="008A6000"/>
    <w:rsid w:val="008A68D8"/>
    <w:rsid w:val="008A6A64"/>
    <w:rsid w:val="008A7219"/>
    <w:rsid w:val="008A7875"/>
    <w:rsid w:val="008B156E"/>
    <w:rsid w:val="008B15F9"/>
    <w:rsid w:val="008B16C4"/>
    <w:rsid w:val="008B1B6E"/>
    <w:rsid w:val="008B2BB3"/>
    <w:rsid w:val="008B333F"/>
    <w:rsid w:val="008B5551"/>
    <w:rsid w:val="008B5645"/>
    <w:rsid w:val="008B5EB7"/>
    <w:rsid w:val="008B7705"/>
    <w:rsid w:val="008B7D93"/>
    <w:rsid w:val="008C0401"/>
    <w:rsid w:val="008C1837"/>
    <w:rsid w:val="008C2AAF"/>
    <w:rsid w:val="008C30D3"/>
    <w:rsid w:val="008C3681"/>
    <w:rsid w:val="008C3953"/>
    <w:rsid w:val="008C3ABB"/>
    <w:rsid w:val="008C456C"/>
    <w:rsid w:val="008C51F1"/>
    <w:rsid w:val="008D0A81"/>
    <w:rsid w:val="008D1277"/>
    <w:rsid w:val="008D1A02"/>
    <w:rsid w:val="008D210C"/>
    <w:rsid w:val="008D254B"/>
    <w:rsid w:val="008D277E"/>
    <w:rsid w:val="008D290B"/>
    <w:rsid w:val="008D2B2F"/>
    <w:rsid w:val="008D3953"/>
    <w:rsid w:val="008D5001"/>
    <w:rsid w:val="008D50ED"/>
    <w:rsid w:val="008E01C7"/>
    <w:rsid w:val="008E05C9"/>
    <w:rsid w:val="008E19B9"/>
    <w:rsid w:val="008E2BE0"/>
    <w:rsid w:val="008E4391"/>
    <w:rsid w:val="008E57AF"/>
    <w:rsid w:val="008E5D57"/>
    <w:rsid w:val="008E734C"/>
    <w:rsid w:val="008E767F"/>
    <w:rsid w:val="008F013A"/>
    <w:rsid w:val="008F0945"/>
    <w:rsid w:val="008F0C7B"/>
    <w:rsid w:val="008F1A70"/>
    <w:rsid w:val="008F22FD"/>
    <w:rsid w:val="008F2E95"/>
    <w:rsid w:val="008F518D"/>
    <w:rsid w:val="008F52CA"/>
    <w:rsid w:val="008F56D1"/>
    <w:rsid w:val="008F5A7A"/>
    <w:rsid w:val="008F632B"/>
    <w:rsid w:val="008F6343"/>
    <w:rsid w:val="008F7E97"/>
    <w:rsid w:val="008F7F32"/>
    <w:rsid w:val="0090071E"/>
    <w:rsid w:val="009008D2"/>
    <w:rsid w:val="00900E1C"/>
    <w:rsid w:val="009016C4"/>
    <w:rsid w:val="009021A6"/>
    <w:rsid w:val="009023E3"/>
    <w:rsid w:val="00903F07"/>
    <w:rsid w:val="00904084"/>
    <w:rsid w:val="00905AEA"/>
    <w:rsid w:val="00905CC6"/>
    <w:rsid w:val="00905CC8"/>
    <w:rsid w:val="009068AC"/>
    <w:rsid w:val="00906F5C"/>
    <w:rsid w:val="00911D1C"/>
    <w:rsid w:val="00913079"/>
    <w:rsid w:val="00913FF1"/>
    <w:rsid w:val="009140DD"/>
    <w:rsid w:val="0091470F"/>
    <w:rsid w:val="009153A7"/>
    <w:rsid w:val="009162B5"/>
    <w:rsid w:val="00916608"/>
    <w:rsid w:val="00916CD2"/>
    <w:rsid w:val="0091786A"/>
    <w:rsid w:val="00917F0F"/>
    <w:rsid w:val="0092077D"/>
    <w:rsid w:val="00920CD6"/>
    <w:rsid w:val="00921A3A"/>
    <w:rsid w:val="00922526"/>
    <w:rsid w:val="0092311E"/>
    <w:rsid w:val="00923627"/>
    <w:rsid w:val="00923C44"/>
    <w:rsid w:val="009248F5"/>
    <w:rsid w:val="0092528F"/>
    <w:rsid w:val="009259DA"/>
    <w:rsid w:val="0092693B"/>
    <w:rsid w:val="0092726D"/>
    <w:rsid w:val="00927B6E"/>
    <w:rsid w:val="00930575"/>
    <w:rsid w:val="00931056"/>
    <w:rsid w:val="009311A8"/>
    <w:rsid w:val="0093489E"/>
    <w:rsid w:val="00934CC3"/>
    <w:rsid w:val="009351F2"/>
    <w:rsid w:val="0093521D"/>
    <w:rsid w:val="00935467"/>
    <w:rsid w:val="00935F68"/>
    <w:rsid w:val="00936447"/>
    <w:rsid w:val="00936C0F"/>
    <w:rsid w:val="00937936"/>
    <w:rsid w:val="009402C1"/>
    <w:rsid w:val="00940986"/>
    <w:rsid w:val="00942524"/>
    <w:rsid w:val="009425AA"/>
    <w:rsid w:val="00942A72"/>
    <w:rsid w:val="00943B97"/>
    <w:rsid w:val="00943FF6"/>
    <w:rsid w:val="00944540"/>
    <w:rsid w:val="00944B13"/>
    <w:rsid w:val="00945334"/>
    <w:rsid w:val="00945BA7"/>
    <w:rsid w:val="00945D70"/>
    <w:rsid w:val="009466D1"/>
    <w:rsid w:val="00947F50"/>
    <w:rsid w:val="00950890"/>
    <w:rsid w:val="0095096E"/>
    <w:rsid w:val="00950BD9"/>
    <w:rsid w:val="00951FBE"/>
    <w:rsid w:val="00952D66"/>
    <w:rsid w:val="009533F9"/>
    <w:rsid w:val="0095347C"/>
    <w:rsid w:val="0095580A"/>
    <w:rsid w:val="00955DF6"/>
    <w:rsid w:val="00956F60"/>
    <w:rsid w:val="009603EF"/>
    <w:rsid w:val="009615F6"/>
    <w:rsid w:val="00961C08"/>
    <w:rsid w:val="009626E8"/>
    <w:rsid w:val="00962F7E"/>
    <w:rsid w:val="00963209"/>
    <w:rsid w:val="00963C10"/>
    <w:rsid w:val="00964392"/>
    <w:rsid w:val="00964430"/>
    <w:rsid w:val="0096445D"/>
    <w:rsid w:val="00965BA0"/>
    <w:rsid w:val="00965F0A"/>
    <w:rsid w:val="009661DE"/>
    <w:rsid w:val="009668DB"/>
    <w:rsid w:val="00966BC6"/>
    <w:rsid w:val="00971805"/>
    <w:rsid w:val="00974463"/>
    <w:rsid w:val="00975411"/>
    <w:rsid w:val="00976539"/>
    <w:rsid w:val="0098069E"/>
    <w:rsid w:val="00980B58"/>
    <w:rsid w:val="00981618"/>
    <w:rsid w:val="00984345"/>
    <w:rsid w:val="009868F1"/>
    <w:rsid w:val="00986AC1"/>
    <w:rsid w:val="00986C4B"/>
    <w:rsid w:val="00987A54"/>
    <w:rsid w:val="00987DB5"/>
    <w:rsid w:val="00987E76"/>
    <w:rsid w:val="009914B9"/>
    <w:rsid w:val="0099185D"/>
    <w:rsid w:val="0099229C"/>
    <w:rsid w:val="00992DE4"/>
    <w:rsid w:val="00992E99"/>
    <w:rsid w:val="009933A8"/>
    <w:rsid w:val="00993517"/>
    <w:rsid w:val="00994711"/>
    <w:rsid w:val="0099624D"/>
    <w:rsid w:val="00996524"/>
    <w:rsid w:val="00996E50"/>
    <w:rsid w:val="0099791B"/>
    <w:rsid w:val="009A0D65"/>
    <w:rsid w:val="009A1736"/>
    <w:rsid w:val="009A2310"/>
    <w:rsid w:val="009A3E75"/>
    <w:rsid w:val="009A64FF"/>
    <w:rsid w:val="009A6A9E"/>
    <w:rsid w:val="009A726C"/>
    <w:rsid w:val="009A77CD"/>
    <w:rsid w:val="009A7C16"/>
    <w:rsid w:val="009B3966"/>
    <w:rsid w:val="009B3E7F"/>
    <w:rsid w:val="009B3F47"/>
    <w:rsid w:val="009B5BA2"/>
    <w:rsid w:val="009B63B4"/>
    <w:rsid w:val="009B6D22"/>
    <w:rsid w:val="009C0080"/>
    <w:rsid w:val="009C049B"/>
    <w:rsid w:val="009C10FC"/>
    <w:rsid w:val="009C15A3"/>
    <w:rsid w:val="009C16A3"/>
    <w:rsid w:val="009C19C9"/>
    <w:rsid w:val="009C1FB0"/>
    <w:rsid w:val="009C209C"/>
    <w:rsid w:val="009C2307"/>
    <w:rsid w:val="009C336A"/>
    <w:rsid w:val="009C37F0"/>
    <w:rsid w:val="009C3876"/>
    <w:rsid w:val="009C3FF2"/>
    <w:rsid w:val="009C52B4"/>
    <w:rsid w:val="009C60BF"/>
    <w:rsid w:val="009C6108"/>
    <w:rsid w:val="009C61AD"/>
    <w:rsid w:val="009C6275"/>
    <w:rsid w:val="009C6761"/>
    <w:rsid w:val="009C78C6"/>
    <w:rsid w:val="009D01A5"/>
    <w:rsid w:val="009D045D"/>
    <w:rsid w:val="009D06BF"/>
    <w:rsid w:val="009D08E4"/>
    <w:rsid w:val="009D159E"/>
    <w:rsid w:val="009D2A2C"/>
    <w:rsid w:val="009D37CA"/>
    <w:rsid w:val="009D523F"/>
    <w:rsid w:val="009D5368"/>
    <w:rsid w:val="009D546C"/>
    <w:rsid w:val="009D7058"/>
    <w:rsid w:val="009D7FF2"/>
    <w:rsid w:val="009E2C12"/>
    <w:rsid w:val="009E333D"/>
    <w:rsid w:val="009E37E9"/>
    <w:rsid w:val="009E47E7"/>
    <w:rsid w:val="009E513F"/>
    <w:rsid w:val="009E661C"/>
    <w:rsid w:val="009F05C9"/>
    <w:rsid w:val="009F069D"/>
    <w:rsid w:val="009F180F"/>
    <w:rsid w:val="009F2FC8"/>
    <w:rsid w:val="009F3A53"/>
    <w:rsid w:val="009F44D9"/>
    <w:rsid w:val="009F6612"/>
    <w:rsid w:val="009F681C"/>
    <w:rsid w:val="009F7517"/>
    <w:rsid w:val="009F759D"/>
    <w:rsid w:val="009F783E"/>
    <w:rsid w:val="009F7868"/>
    <w:rsid w:val="00A00110"/>
    <w:rsid w:val="00A016EF"/>
    <w:rsid w:val="00A01AED"/>
    <w:rsid w:val="00A025E5"/>
    <w:rsid w:val="00A031FC"/>
    <w:rsid w:val="00A03AEE"/>
    <w:rsid w:val="00A03E36"/>
    <w:rsid w:val="00A04C42"/>
    <w:rsid w:val="00A06262"/>
    <w:rsid w:val="00A07E78"/>
    <w:rsid w:val="00A10203"/>
    <w:rsid w:val="00A1027C"/>
    <w:rsid w:val="00A11051"/>
    <w:rsid w:val="00A112B6"/>
    <w:rsid w:val="00A136B0"/>
    <w:rsid w:val="00A13C9A"/>
    <w:rsid w:val="00A146CA"/>
    <w:rsid w:val="00A1475C"/>
    <w:rsid w:val="00A14BBB"/>
    <w:rsid w:val="00A14E08"/>
    <w:rsid w:val="00A15999"/>
    <w:rsid w:val="00A1605E"/>
    <w:rsid w:val="00A16189"/>
    <w:rsid w:val="00A167B4"/>
    <w:rsid w:val="00A16A63"/>
    <w:rsid w:val="00A178C7"/>
    <w:rsid w:val="00A21CE9"/>
    <w:rsid w:val="00A2222A"/>
    <w:rsid w:val="00A22351"/>
    <w:rsid w:val="00A23317"/>
    <w:rsid w:val="00A23695"/>
    <w:rsid w:val="00A2371A"/>
    <w:rsid w:val="00A23BD0"/>
    <w:rsid w:val="00A255E1"/>
    <w:rsid w:val="00A25DAC"/>
    <w:rsid w:val="00A26940"/>
    <w:rsid w:val="00A26BBC"/>
    <w:rsid w:val="00A26DC4"/>
    <w:rsid w:val="00A26FE7"/>
    <w:rsid w:val="00A27470"/>
    <w:rsid w:val="00A27667"/>
    <w:rsid w:val="00A27A09"/>
    <w:rsid w:val="00A30189"/>
    <w:rsid w:val="00A31B18"/>
    <w:rsid w:val="00A32B1D"/>
    <w:rsid w:val="00A32DE5"/>
    <w:rsid w:val="00A333D2"/>
    <w:rsid w:val="00A33E80"/>
    <w:rsid w:val="00A34407"/>
    <w:rsid w:val="00A35218"/>
    <w:rsid w:val="00A35702"/>
    <w:rsid w:val="00A36AD8"/>
    <w:rsid w:val="00A36B3C"/>
    <w:rsid w:val="00A36ED5"/>
    <w:rsid w:val="00A37CA6"/>
    <w:rsid w:val="00A37CD6"/>
    <w:rsid w:val="00A409BC"/>
    <w:rsid w:val="00A4104D"/>
    <w:rsid w:val="00A4163E"/>
    <w:rsid w:val="00A416A1"/>
    <w:rsid w:val="00A41EEF"/>
    <w:rsid w:val="00A42F58"/>
    <w:rsid w:val="00A43576"/>
    <w:rsid w:val="00A4454B"/>
    <w:rsid w:val="00A45E8A"/>
    <w:rsid w:val="00A46BB7"/>
    <w:rsid w:val="00A4709F"/>
    <w:rsid w:val="00A47569"/>
    <w:rsid w:val="00A47F94"/>
    <w:rsid w:val="00A5001B"/>
    <w:rsid w:val="00A518DF"/>
    <w:rsid w:val="00A53419"/>
    <w:rsid w:val="00A53950"/>
    <w:rsid w:val="00A5474C"/>
    <w:rsid w:val="00A54FC2"/>
    <w:rsid w:val="00A5531F"/>
    <w:rsid w:val="00A55AA1"/>
    <w:rsid w:val="00A55FEE"/>
    <w:rsid w:val="00A56B86"/>
    <w:rsid w:val="00A57C03"/>
    <w:rsid w:val="00A61A81"/>
    <w:rsid w:val="00A62821"/>
    <w:rsid w:val="00A6322F"/>
    <w:rsid w:val="00A64110"/>
    <w:rsid w:val="00A6411A"/>
    <w:rsid w:val="00A647CD"/>
    <w:rsid w:val="00A64F4D"/>
    <w:rsid w:val="00A66BDE"/>
    <w:rsid w:val="00A66D2D"/>
    <w:rsid w:val="00A675AF"/>
    <w:rsid w:val="00A67F98"/>
    <w:rsid w:val="00A705B7"/>
    <w:rsid w:val="00A709AD"/>
    <w:rsid w:val="00A7102F"/>
    <w:rsid w:val="00A718DB"/>
    <w:rsid w:val="00A71CB1"/>
    <w:rsid w:val="00A71E8C"/>
    <w:rsid w:val="00A71FD0"/>
    <w:rsid w:val="00A721DD"/>
    <w:rsid w:val="00A725BA"/>
    <w:rsid w:val="00A73DB2"/>
    <w:rsid w:val="00A74D94"/>
    <w:rsid w:val="00A75DD4"/>
    <w:rsid w:val="00A75F08"/>
    <w:rsid w:val="00A76C32"/>
    <w:rsid w:val="00A77514"/>
    <w:rsid w:val="00A81141"/>
    <w:rsid w:val="00A81869"/>
    <w:rsid w:val="00A82AC7"/>
    <w:rsid w:val="00A82C92"/>
    <w:rsid w:val="00A84B9E"/>
    <w:rsid w:val="00A84F23"/>
    <w:rsid w:val="00A86241"/>
    <w:rsid w:val="00A868A0"/>
    <w:rsid w:val="00A86925"/>
    <w:rsid w:val="00A86DED"/>
    <w:rsid w:val="00A9004E"/>
    <w:rsid w:val="00A91370"/>
    <w:rsid w:val="00A91F0B"/>
    <w:rsid w:val="00A9308A"/>
    <w:rsid w:val="00A93400"/>
    <w:rsid w:val="00A9374C"/>
    <w:rsid w:val="00A93999"/>
    <w:rsid w:val="00A93AC3"/>
    <w:rsid w:val="00A942B5"/>
    <w:rsid w:val="00A947D5"/>
    <w:rsid w:val="00A94B21"/>
    <w:rsid w:val="00A9504C"/>
    <w:rsid w:val="00A95189"/>
    <w:rsid w:val="00A964E8"/>
    <w:rsid w:val="00A96669"/>
    <w:rsid w:val="00A96938"/>
    <w:rsid w:val="00A978AF"/>
    <w:rsid w:val="00A97F98"/>
    <w:rsid w:val="00AA0222"/>
    <w:rsid w:val="00AA08D2"/>
    <w:rsid w:val="00AA113C"/>
    <w:rsid w:val="00AA163C"/>
    <w:rsid w:val="00AA1966"/>
    <w:rsid w:val="00AA1ABD"/>
    <w:rsid w:val="00AA3344"/>
    <w:rsid w:val="00AA339C"/>
    <w:rsid w:val="00AA3ACC"/>
    <w:rsid w:val="00AA3D8B"/>
    <w:rsid w:val="00AA4276"/>
    <w:rsid w:val="00AA7203"/>
    <w:rsid w:val="00AA7407"/>
    <w:rsid w:val="00AA78A5"/>
    <w:rsid w:val="00AB08EE"/>
    <w:rsid w:val="00AB0A23"/>
    <w:rsid w:val="00AB0C2A"/>
    <w:rsid w:val="00AB1AC3"/>
    <w:rsid w:val="00AB3837"/>
    <w:rsid w:val="00AB3EDF"/>
    <w:rsid w:val="00AB41B4"/>
    <w:rsid w:val="00AB4EF9"/>
    <w:rsid w:val="00AB578C"/>
    <w:rsid w:val="00AB59F2"/>
    <w:rsid w:val="00AB5C2F"/>
    <w:rsid w:val="00AB70A7"/>
    <w:rsid w:val="00AC01EB"/>
    <w:rsid w:val="00AC0B52"/>
    <w:rsid w:val="00AC2891"/>
    <w:rsid w:val="00AC2D95"/>
    <w:rsid w:val="00AC2DB0"/>
    <w:rsid w:val="00AC2EAF"/>
    <w:rsid w:val="00AC3853"/>
    <w:rsid w:val="00AC3C2D"/>
    <w:rsid w:val="00AC3DE1"/>
    <w:rsid w:val="00AC41C4"/>
    <w:rsid w:val="00AC542D"/>
    <w:rsid w:val="00AC5CDF"/>
    <w:rsid w:val="00AC643A"/>
    <w:rsid w:val="00AC68E4"/>
    <w:rsid w:val="00AC70B8"/>
    <w:rsid w:val="00AC7D81"/>
    <w:rsid w:val="00AD0B81"/>
    <w:rsid w:val="00AD2F7A"/>
    <w:rsid w:val="00AD3161"/>
    <w:rsid w:val="00AD319B"/>
    <w:rsid w:val="00AD3724"/>
    <w:rsid w:val="00AD3E44"/>
    <w:rsid w:val="00AD3E8F"/>
    <w:rsid w:val="00AD4C3C"/>
    <w:rsid w:val="00AD582B"/>
    <w:rsid w:val="00AD60C4"/>
    <w:rsid w:val="00AD673E"/>
    <w:rsid w:val="00AD68E5"/>
    <w:rsid w:val="00AD6989"/>
    <w:rsid w:val="00AD6E4B"/>
    <w:rsid w:val="00AD6EC6"/>
    <w:rsid w:val="00AD7372"/>
    <w:rsid w:val="00AD7C3A"/>
    <w:rsid w:val="00AE0513"/>
    <w:rsid w:val="00AE0AEC"/>
    <w:rsid w:val="00AE0E5C"/>
    <w:rsid w:val="00AE1280"/>
    <w:rsid w:val="00AE2D2D"/>
    <w:rsid w:val="00AE3114"/>
    <w:rsid w:val="00AE5281"/>
    <w:rsid w:val="00AE5390"/>
    <w:rsid w:val="00AE5673"/>
    <w:rsid w:val="00AE5BAA"/>
    <w:rsid w:val="00AE68EA"/>
    <w:rsid w:val="00AE7771"/>
    <w:rsid w:val="00AF04ED"/>
    <w:rsid w:val="00AF35E8"/>
    <w:rsid w:val="00AF5C01"/>
    <w:rsid w:val="00AF6092"/>
    <w:rsid w:val="00AF7247"/>
    <w:rsid w:val="00AF73C6"/>
    <w:rsid w:val="00B00409"/>
    <w:rsid w:val="00B00CF8"/>
    <w:rsid w:val="00B0141B"/>
    <w:rsid w:val="00B01947"/>
    <w:rsid w:val="00B020C1"/>
    <w:rsid w:val="00B02D8D"/>
    <w:rsid w:val="00B02F6B"/>
    <w:rsid w:val="00B04C3F"/>
    <w:rsid w:val="00B06F75"/>
    <w:rsid w:val="00B070BA"/>
    <w:rsid w:val="00B07C07"/>
    <w:rsid w:val="00B07D12"/>
    <w:rsid w:val="00B07F59"/>
    <w:rsid w:val="00B1092D"/>
    <w:rsid w:val="00B12447"/>
    <w:rsid w:val="00B12449"/>
    <w:rsid w:val="00B127F5"/>
    <w:rsid w:val="00B12E98"/>
    <w:rsid w:val="00B132C8"/>
    <w:rsid w:val="00B140AC"/>
    <w:rsid w:val="00B1439A"/>
    <w:rsid w:val="00B14614"/>
    <w:rsid w:val="00B15D80"/>
    <w:rsid w:val="00B16DAC"/>
    <w:rsid w:val="00B16F0C"/>
    <w:rsid w:val="00B16F6D"/>
    <w:rsid w:val="00B21627"/>
    <w:rsid w:val="00B218D0"/>
    <w:rsid w:val="00B23610"/>
    <w:rsid w:val="00B24B5D"/>
    <w:rsid w:val="00B24F59"/>
    <w:rsid w:val="00B25682"/>
    <w:rsid w:val="00B2787E"/>
    <w:rsid w:val="00B27C8E"/>
    <w:rsid w:val="00B31280"/>
    <w:rsid w:val="00B324E2"/>
    <w:rsid w:val="00B336F8"/>
    <w:rsid w:val="00B338FD"/>
    <w:rsid w:val="00B3405D"/>
    <w:rsid w:val="00B35752"/>
    <w:rsid w:val="00B367DE"/>
    <w:rsid w:val="00B37528"/>
    <w:rsid w:val="00B37548"/>
    <w:rsid w:val="00B375F9"/>
    <w:rsid w:val="00B37E19"/>
    <w:rsid w:val="00B4000F"/>
    <w:rsid w:val="00B405AD"/>
    <w:rsid w:val="00B40A75"/>
    <w:rsid w:val="00B41151"/>
    <w:rsid w:val="00B42262"/>
    <w:rsid w:val="00B42B41"/>
    <w:rsid w:val="00B42EF7"/>
    <w:rsid w:val="00B43F33"/>
    <w:rsid w:val="00B444CA"/>
    <w:rsid w:val="00B44DF4"/>
    <w:rsid w:val="00B451AE"/>
    <w:rsid w:val="00B46353"/>
    <w:rsid w:val="00B476F1"/>
    <w:rsid w:val="00B47884"/>
    <w:rsid w:val="00B513AC"/>
    <w:rsid w:val="00B5145E"/>
    <w:rsid w:val="00B51597"/>
    <w:rsid w:val="00B515C5"/>
    <w:rsid w:val="00B51E2B"/>
    <w:rsid w:val="00B52D18"/>
    <w:rsid w:val="00B52D57"/>
    <w:rsid w:val="00B550A4"/>
    <w:rsid w:val="00B55516"/>
    <w:rsid w:val="00B55520"/>
    <w:rsid w:val="00B55AD6"/>
    <w:rsid w:val="00B571E0"/>
    <w:rsid w:val="00B57C3E"/>
    <w:rsid w:val="00B61C3D"/>
    <w:rsid w:val="00B622D7"/>
    <w:rsid w:val="00B62326"/>
    <w:rsid w:val="00B62592"/>
    <w:rsid w:val="00B646A6"/>
    <w:rsid w:val="00B64D4C"/>
    <w:rsid w:val="00B65E91"/>
    <w:rsid w:val="00B67322"/>
    <w:rsid w:val="00B676EF"/>
    <w:rsid w:val="00B707EC"/>
    <w:rsid w:val="00B71735"/>
    <w:rsid w:val="00B71C2F"/>
    <w:rsid w:val="00B7337B"/>
    <w:rsid w:val="00B73448"/>
    <w:rsid w:val="00B73601"/>
    <w:rsid w:val="00B738F0"/>
    <w:rsid w:val="00B73B15"/>
    <w:rsid w:val="00B746F9"/>
    <w:rsid w:val="00B74B21"/>
    <w:rsid w:val="00B75B1B"/>
    <w:rsid w:val="00B76024"/>
    <w:rsid w:val="00B7660C"/>
    <w:rsid w:val="00B77009"/>
    <w:rsid w:val="00B77502"/>
    <w:rsid w:val="00B77941"/>
    <w:rsid w:val="00B77D23"/>
    <w:rsid w:val="00B80C3C"/>
    <w:rsid w:val="00B81303"/>
    <w:rsid w:val="00B8239D"/>
    <w:rsid w:val="00B82675"/>
    <w:rsid w:val="00B82903"/>
    <w:rsid w:val="00B8293E"/>
    <w:rsid w:val="00B8364B"/>
    <w:rsid w:val="00B83D41"/>
    <w:rsid w:val="00B8410A"/>
    <w:rsid w:val="00B8559C"/>
    <w:rsid w:val="00B85729"/>
    <w:rsid w:val="00B85EF0"/>
    <w:rsid w:val="00B86AA0"/>
    <w:rsid w:val="00B86FE8"/>
    <w:rsid w:val="00B87294"/>
    <w:rsid w:val="00B90696"/>
    <w:rsid w:val="00B914D5"/>
    <w:rsid w:val="00B91FFE"/>
    <w:rsid w:val="00B924F1"/>
    <w:rsid w:val="00B927FE"/>
    <w:rsid w:val="00B92C01"/>
    <w:rsid w:val="00B9388F"/>
    <w:rsid w:val="00B95100"/>
    <w:rsid w:val="00B95330"/>
    <w:rsid w:val="00B9550C"/>
    <w:rsid w:val="00B9698D"/>
    <w:rsid w:val="00B96F67"/>
    <w:rsid w:val="00B97151"/>
    <w:rsid w:val="00B97959"/>
    <w:rsid w:val="00B97FAF"/>
    <w:rsid w:val="00BA0254"/>
    <w:rsid w:val="00BA0896"/>
    <w:rsid w:val="00BA0AA6"/>
    <w:rsid w:val="00BA0FCE"/>
    <w:rsid w:val="00BA1B65"/>
    <w:rsid w:val="00BA2F42"/>
    <w:rsid w:val="00BA49AA"/>
    <w:rsid w:val="00BA4E3F"/>
    <w:rsid w:val="00BA6594"/>
    <w:rsid w:val="00BA71E2"/>
    <w:rsid w:val="00BB09D1"/>
    <w:rsid w:val="00BB26F4"/>
    <w:rsid w:val="00BB2BCF"/>
    <w:rsid w:val="00BB3961"/>
    <w:rsid w:val="00BB601D"/>
    <w:rsid w:val="00BB63F8"/>
    <w:rsid w:val="00BB6750"/>
    <w:rsid w:val="00BB74A0"/>
    <w:rsid w:val="00BC0E2E"/>
    <w:rsid w:val="00BC0E62"/>
    <w:rsid w:val="00BC30EE"/>
    <w:rsid w:val="00BC358B"/>
    <w:rsid w:val="00BC3D36"/>
    <w:rsid w:val="00BC419E"/>
    <w:rsid w:val="00BC55D0"/>
    <w:rsid w:val="00BC607E"/>
    <w:rsid w:val="00BC7619"/>
    <w:rsid w:val="00BD06C9"/>
    <w:rsid w:val="00BD096C"/>
    <w:rsid w:val="00BD10A2"/>
    <w:rsid w:val="00BD1225"/>
    <w:rsid w:val="00BD12C3"/>
    <w:rsid w:val="00BD15E6"/>
    <w:rsid w:val="00BD3A1B"/>
    <w:rsid w:val="00BD3B31"/>
    <w:rsid w:val="00BD3E9C"/>
    <w:rsid w:val="00BD4A37"/>
    <w:rsid w:val="00BD4E03"/>
    <w:rsid w:val="00BD523D"/>
    <w:rsid w:val="00BD538E"/>
    <w:rsid w:val="00BD7775"/>
    <w:rsid w:val="00BE000E"/>
    <w:rsid w:val="00BE0E05"/>
    <w:rsid w:val="00BE1225"/>
    <w:rsid w:val="00BE12C4"/>
    <w:rsid w:val="00BE4374"/>
    <w:rsid w:val="00BE51B2"/>
    <w:rsid w:val="00BE5701"/>
    <w:rsid w:val="00BE69C5"/>
    <w:rsid w:val="00BE6ABD"/>
    <w:rsid w:val="00BE7CED"/>
    <w:rsid w:val="00BF1038"/>
    <w:rsid w:val="00BF10F3"/>
    <w:rsid w:val="00BF2C93"/>
    <w:rsid w:val="00BF2E7D"/>
    <w:rsid w:val="00BF3920"/>
    <w:rsid w:val="00BF41F3"/>
    <w:rsid w:val="00BF42F6"/>
    <w:rsid w:val="00BF4816"/>
    <w:rsid w:val="00BF51DA"/>
    <w:rsid w:val="00BF5F36"/>
    <w:rsid w:val="00BF6090"/>
    <w:rsid w:val="00BF6C07"/>
    <w:rsid w:val="00BF6D0F"/>
    <w:rsid w:val="00C00184"/>
    <w:rsid w:val="00C0045B"/>
    <w:rsid w:val="00C00AB4"/>
    <w:rsid w:val="00C01527"/>
    <w:rsid w:val="00C01A9D"/>
    <w:rsid w:val="00C02287"/>
    <w:rsid w:val="00C02483"/>
    <w:rsid w:val="00C02DB8"/>
    <w:rsid w:val="00C033F4"/>
    <w:rsid w:val="00C03B3A"/>
    <w:rsid w:val="00C0412A"/>
    <w:rsid w:val="00C050BA"/>
    <w:rsid w:val="00C05BEB"/>
    <w:rsid w:val="00C0603C"/>
    <w:rsid w:val="00C06542"/>
    <w:rsid w:val="00C06A27"/>
    <w:rsid w:val="00C06E0B"/>
    <w:rsid w:val="00C06E47"/>
    <w:rsid w:val="00C07482"/>
    <w:rsid w:val="00C07A70"/>
    <w:rsid w:val="00C07BB7"/>
    <w:rsid w:val="00C10F3C"/>
    <w:rsid w:val="00C11137"/>
    <w:rsid w:val="00C11D0C"/>
    <w:rsid w:val="00C11DE4"/>
    <w:rsid w:val="00C151F4"/>
    <w:rsid w:val="00C15A5E"/>
    <w:rsid w:val="00C16223"/>
    <w:rsid w:val="00C20242"/>
    <w:rsid w:val="00C21656"/>
    <w:rsid w:val="00C220EF"/>
    <w:rsid w:val="00C234AF"/>
    <w:rsid w:val="00C24EAF"/>
    <w:rsid w:val="00C255BC"/>
    <w:rsid w:val="00C25B51"/>
    <w:rsid w:val="00C2631B"/>
    <w:rsid w:val="00C302C3"/>
    <w:rsid w:val="00C31A80"/>
    <w:rsid w:val="00C31FC8"/>
    <w:rsid w:val="00C320CD"/>
    <w:rsid w:val="00C336C7"/>
    <w:rsid w:val="00C359F7"/>
    <w:rsid w:val="00C35FEB"/>
    <w:rsid w:val="00C365CB"/>
    <w:rsid w:val="00C3707B"/>
    <w:rsid w:val="00C37F61"/>
    <w:rsid w:val="00C40AD7"/>
    <w:rsid w:val="00C40FB1"/>
    <w:rsid w:val="00C42BCB"/>
    <w:rsid w:val="00C44432"/>
    <w:rsid w:val="00C44865"/>
    <w:rsid w:val="00C47EA4"/>
    <w:rsid w:val="00C47FE7"/>
    <w:rsid w:val="00C50C76"/>
    <w:rsid w:val="00C527DE"/>
    <w:rsid w:val="00C52908"/>
    <w:rsid w:val="00C531DB"/>
    <w:rsid w:val="00C538B7"/>
    <w:rsid w:val="00C5391F"/>
    <w:rsid w:val="00C53C87"/>
    <w:rsid w:val="00C55310"/>
    <w:rsid w:val="00C55CD9"/>
    <w:rsid w:val="00C55E84"/>
    <w:rsid w:val="00C563DD"/>
    <w:rsid w:val="00C56600"/>
    <w:rsid w:val="00C566A5"/>
    <w:rsid w:val="00C566ED"/>
    <w:rsid w:val="00C56A4D"/>
    <w:rsid w:val="00C56BCF"/>
    <w:rsid w:val="00C603E5"/>
    <w:rsid w:val="00C607D6"/>
    <w:rsid w:val="00C614B1"/>
    <w:rsid w:val="00C624E1"/>
    <w:rsid w:val="00C63A6A"/>
    <w:rsid w:val="00C64001"/>
    <w:rsid w:val="00C6407D"/>
    <w:rsid w:val="00C6550D"/>
    <w:rsid w:val="00C65C0E"/>
    <w:rsid w:val="00C660CB"/>
    <w:rsid w:val="00C66809"/>
    <w:rsid w:val="00C7261A"/>
    <w:rsid w:val="00C72771"/>
    <w:rsid w:val="00C73A9D"/>
    <w:rsid w:val="00C73FB7"/>
    <w:rsid w:val="00C745E2"/>
    <w:rsid w:val="00C74792"/>
    <w:rsid w:val="00C74AE6"/>
    <w:rsid w:val="00C763F7"/>
    <w:rsid w:val="00C768BB"/>
    <w:rsid w:val="00C768D1"/>
    <w:rsid w:val="00C77EDF"/>
    <w:rsid w:val="00C808AE"/>
    <w:rsid w:val="00C81098"/>
    <w:rsid w:val="00C81E16"/>
    <w:rsid w:val="00C83D40"/>
    <w:rsid w:val="00C8446F"/>
    <w:rsid w:val="00C84607"/>
    <w:rsid w:val="00C84C2E"/>
    <w:rsid w:val="00C84FAA"/>
    <w:rsid w:val="00C85188"/>
    <w:rsid w:val="00C851B2"/>
    <w:rsid w:val="00C856F2"/>
    <w:rsid w:val="00C86926"/>
    <w:rsid w:val="00C87060"/>
    <w:rsid w:val="00C87240"/>
    <w:rsid w:val="00C903E4"/>
    <w:rsid w:val="00C90A11"/>
    <w:rsid w:val="00C915E9"/>
    <w:rsid w:val="00C925C9"/>
    <w:rsid w:val="00C9571C"/>
    <w:rsid w:val="00C96D7F"/>
    <w:rsid w:val="00C97235"/>
    <w:rsid w:val="00C97D6A"/>
    <w:rsid w:val="00CA0C2D"/>
    <w:rsid w:val="00CA12DD"/>
    <w:rsid w:val="00CA1909"/>
    <w:rsid w:val="00CA2690"/>
    <w:rsid w:val="00CA2807"/>
    <w:rsid w:val="00CA2CDA"/>
    <w:rsid w:val="00CA329C"/>
    <w:rsid w:val="00CA3337"/>
    <w:rsid w:val="00CA3B37"/>
    <w:rsid w:val="00CA3F8D"/>
    <w:rsid w:val="00CA49E2"/>
    <w:rsid w:val="00CA56E5"/>
    <w:rsid w:val="00CA677F"/>
    <w:rsid w:val="00CA742B"/>
    <w:rsid w:val="00CA774F"/>
    <w:rsid w:val="00CB4C64"/>
    <w:rsid w:val="00CB5278"/>
    <w:rsid w:val="00CB5971"/>
    <w:rsid w:val="00CB61EF"/>
    <w:rsid w:val="00CC085B"/>
    <w:rsid w:val="00CC1017"/>
    <w:rsid w:val="00CC10FA"/>
    <w:rsid w:val="00CC1208"/>
    <w:rsid w:val="00CC243D"/>
    <w:rsid w:val="00CC4B4A"/>
    <w:rsid w:val="00CC516B"/>
    <w:rsid w:val="00CC57E1"/>
    <w:rsid w:val="00CC6994"/>
    <w:rsid w:val="00CC6C25"/>
    <w:rsid w:val="00CC76BF"/>
    <w:rsid w:val="00CC786D"/>
    <w:rsid w:val="00CD186E"/>
    <w:rsid w:val="00CD1F1D"/>
    <w:rsid w:val="00CD4021"/>
    <w:rsid w:val="00CD4363"/>
    <w:rsid w:val="00CD4A81"/>
    <w:rsid w:val="00CD4ABC"/>
    <w:rsid w:val="00CD4DA2"/>
    <w:rsid w:val="00CD591A"/>
    <w:rsid w:val="00CD66B4"/>
    <w:rsid w:val="00CD75E1"/>
    <w:rsid w:val="00CD778B"/>
    <w:rsid w:val="00CD7B22"/>
    <w:rsid w:val="00CE0248"/>
    <w:rsid w:val="00CE1910"/>
    <w:rsid w:val="00CE1C1D"/>
    <w:rsid w:val="00CE2E21"/>
    <w:rsid w:val="00CE3325"/>
    <w:rsid w:val="00CE34E0"/>
    <w:rsid w:val="00CE3699"/>
    <w:rsid w:val="00CE39FB"/>
    <w:rsid w:val="00CE45DF"/>
    <w:rsid w:val="00CE4E83"/>
    <w:rsid w:val="00CE5031"/>
    <w:rsid w:val="00CE58E5"/>
    <w:rsid w:val="00CE601F"/>
    <w:rsid w:val="00CE6532"/>
    <w:rsid w:val="00CE6FEB"/>
    <w:rsid w:val="00CF186A"/>
    <w:rsid w:val="00CF275C"/>
    <w:rsid w:val="00CF277D"/>
    <w:rsid w:val="00CF283A"/>
    <w:rsid w:val="00CF3502"/>
    <w:rsid w:val="00CF4CBD"/>
    <w:rsid w:val="00CF514B"/>
    <w:rsid w:val="00CF5162"/>
    <w:rsid w:val="00CF5765"/>
    <w:rsid w:val="00CF6000"/>
    <w:rsid w:val="00CF631D"/>
    <w:rsid w:val="00CF7BBD"/>
    <w:rsid w:val="00D00EF5"/>
    <w:rsid w:val="00D01E63"/>
    <w:rsid w:val="00D020EF"/>
    <w:rsid w:val="00D0341D"/>
    <w:rsid w:val="00D03834"/>
    <w:rsid w:val="00D047C1"/>
    <w:rsid w:val="00D05B4B"/>
    <w:rsid w:val="00D10321"/>
    <w:rsid w:val="00D11118"/>
    <w:rsid w:val="00D11624"/>
    <w:rsid w:val="00D11D4D"/>
    <w:rsid w:val="00D122CE"/>
    <w:rsid w:val="00D134B9"/>
    <w:rsid w:val="00D137EA"/>
    <w:rsid w:val="00D149F8"/>
    <w:rsid w:val="00D1593B"/>
    <w:rsid w:val="00D16173"/>
    <w:rsid w:val="00D165BA"/>
    <w:rsid w:val="00D166BB"/>
    <w:rsid w:val="00D1692B"/>
    <w:rsid w:val="00D17597"/>
    <w:rsid w:val="00D17668"/>
    <w:rsid w:val="00D17971"/>
    <w:rsid w:val="00D20125"/>
    <w:rsid w:val="00D20573"/>
    <w:rsid w:val="00D2076C"/>
    <w:rsid w:val="00D212A4"/>
    <w:rsid w:val="00D219C4"/>
    <w:rsid w:val="00D21F7B"/>
    <w:rsid w:val="00D237AE"/>
    <w:rsid w:val="00D23F28"/>
    <w:rsid w:val="00D257A6"/>
    <w:rsid w:val="00D276B6"/>
    <w:rsid w:val="00D30115"/>
    <w:rsid w:val="00D30781"/>
    <w:rsid w:val="00D30C53"/>
    <w:rsid w:val="00D30C5B"/>
    <w:rsid w:val="00D32C59"/>
    <w:rsid w:val="00D3382D"/>
    <w:rsid w:val="00D33904"/>
    <w:rsid w:val="00D34F79"/>
    <w:rsid w:val="00D358AE"/>
    <w:rsid w:val="00D35D9A"/>
    <w:rsid w:val="00D37362"/>
    <w:rsid w:val="00D400BA"/>
    <w:rsid w:val="00D41030"/>
    <w:rsid w:val="00D42BA6"/>
    <w:rsid w:val="00D43E9F"/>
    <w:rsid w:val="00D44386"/>
    <w:rsid w:val="00D44B40"/>
    <w:rsid w:val="00D44E14"/>
    <w:rsid w:val="00D455A8"/>
    <w:rsid w:val="00D4666C"/>
    <w:rsid w:val="00D47C9D"/>
    <w:rsid w:val="00D504BB"/>
    <w:rsid w:val="00D50AB7"/>
    <w:rsid w:val="00D50F25"/>
    <w:rsid w:val="00D51425"/>
    <w:rsid w:val="00D5281F"/>
    <w:rsid w:val="00D53367"/>
    <w:rsid w:val="00D5384C"/>
    <w:rsid w:val="00D5724E"/>
    <w:rsid w:val="00D60007"/>
    <w:rsid w:val="00D6057C"/>
    <w:rsid w:val="00D61BFA"/>
    <w:rsid w:val="00D61F27"/>
    <w:rsid w:val="00D62C72"/>
    <w:rsid w:val="00D638F5"/>
    <w:rsid w:val="00D645A1"/>
    <w:rsid w:val="00D65056"/>
    <w:rsid w:val="00D6549E"/>
    <w:rsid w:val="00D6570A"/>
    <w:rsid w:val="00D6623C"/>
    <w:rsid w:val="00D662FD"/>
    <w:rsid w:val="00D67444"/>
    <w:rsid w:val="00D67760"/>
    <w:rsid w:val="00D711BD"/>
    <w:rsid w:val="00D71224"/>
    <w:rsid w:val="00D72533"/>
    <w:rsid w:val="00D72D5C"/>
    <w:rsid w:val="00D73250"/>
    <w:rsid w:val="00D73A19"/>
    <w:rsid w:val="00D74538"/>
    <w:rsid w:val="00D75E40"/>
    <w:rsid w:val="00D76C8A"/>
    <w:rsid w:val="00D77170"/>
    <w:rsid w:val="00D7735A"/>
    <w:rsid w:val="00D80211"/>
    <w:rsid w:val="00D808EF"/>
    <w:rsid w:val="00D8117C"/>
    <w:rsid w:val="00D816CF"/>
    <w:rsid w:val="00D817EC"/>
    <w:rsid w:val="00D82249"/>
    <w:rsid w:val="00D8259E"/>
    <w:rsid w:val="00D830E5"/>
    <w:rsid w:val="00D85CFF"/>
    <w:rsid w:val="00D86CE4"/>
    <w:rsid w:val="00D86DC6"/>
    <w:rsid w:val="00D87E18"/>
    <w:rsid w:val="00D91905"/>
    <w:rsid w:val="00D91B5E"/>
    <w:rsid w:val="00D923CE"/>
    <w:rsid w:val="00D92DA9"/>
    <w:rsid w:val="00D9360C"/>
    <w:rsid w:val="00D93719"/>
    <w:rsid w:val="00D93DAF"/>
    <w:rsid w:val="00D93E3B"/>
    <w:rsid w:val="00D93EDC"/>
    <w:rsid w:val="00D943B0"/>
    <w:rsid w:val="00D9565B"/>
    <w:rsid w:val="00D95C36"/>
    <w:rsid w:val="00D95D31"/>
    <w:rsid w:val="00D96596"/>
    <w:rsid w:val="00D96848"/>
    <w:rsid w:val="00DA14B0"/>
    <w:rsid w:val="00DA154C"/>
    <w:rsid w:val="00DA1C21"/>
    <w:rsid w:val="00DA26E9"/>
    <w:rsid w:val="00DA2CDF"/>
    <w:rsid w:val="00DA42E3"/>
    <w:rsid w:val="00DA520F"/>
    <w:rsid w:val="00DA54C6"/>
    <w:rsid w:val="00DA6099"/>
    <w:rsid w:val="00DA7B4C"/>
    <w:rsid w:val="00DB074A"/>
    <w:rsid w:val="00DB0BAD"/>
    <w:rsid w:val="00DB2714"/>
    <w:rsid w:val="00DB274B"/>
    <w:rsid w:val="00DB44F8"/>
    <w:rsid w:val="00DB4ED9"/>
    <w:rsid w:val="00DB649E"/>
    <w:rsid w:val="00DB6C61"/>
    <w:rsid w:val="00DB6D75"/>
    <w:rsid w:val="00DC0599"/>
    <w:rsid w:val="00DC0C69"/>
    <w:rsid w:val="00DC2573"/>
    <w:rsid w:val="00DC45EF"/>
    <w:rsid w:val="00DC4C54"/>
    <w:rsid w:val="00DC4F73"/>
    <w:rsid w:val="00DC512D"/>
    <w:rsid w:val="00DC566B"/>
    <w:rsid w:val="00DC578C"/>
    <w:rsid w:val="00DC623F"/>
    <w:rsid w:val="00DC64F1"/>
    <w:rsid w:val="00DD2028"/>
    <w:rsid w:val="00DD2185"/>
    <w:rsid w:val="00DD2CA9"/>
    <w:rsid w:val="00DD306D"/>
    <w:rsid w:val="00DD3720"/>
    <w:rsid w:val="00DD3821"/>
    <w:rsid w:val="00DD4499"/>
    <w:rsid w:val="00DD4F69"/>
    <w:rsid w:val="00DD56AB"/>
    <w:rsid w:val="00DD59E9"/>
    <w:rsid w:val="00DD64B6"/>
    <w:rsid w:val="00DD675A"/>
    <w:rsid w:val="00DD6BEC"/>
    <w:rsid w:val="00DD728F"/>
    <w:rsid w:val="00DD7A55"/>
    <w:rsid w:val="00DD7F56"/>
    <w:rsid w:val="00DE1554"/>
    <w:rsid w:val="00DE16ED"/>
    <w:rsid w:val="00DE1D42"/>
    <w:rsid w:val="00DE49DE"/>
    <w:rsid w:val="00DE51A0"/>
    <w:rsid w:val="00DE70F1"/>
    <w:rsid w:val="00DF0911"/>
    <w:rsid w:val="00DF181D"/>
    <w:rsid w:val="00DF1A78"/>
    <w:rsid w:val="00DF5878"/>
    <w:rsid w:val="00DF6176"/>
    <w:rsid w:val="00DF691A"/>
    <w:rsid w:val="00DF6922"/>
    <w:rsid w:val="00DF6B45"/>
    <w:rsid w:val="00DF79E9"/>
    <w:rsid w:val="00E000AC"/>
    <w:rsid w:val="00E0022A"/>
    <w:rsid w:val="00E02FEE"/>
    <w:rsid w:val="00E03148"/>
    <w:rsid w:val="00E03858"/>
    <w:rsid w:val="00E038B3"/>
    <w:rsid w:val="00E047CF"/>
    <w:rsid w:val="00E04EAF"/>
    <w:rsid w:val="00E05ACB"/>
    <w:rsid w:val="00E063A0"/>
    <w:rsid w:val="00E06C6F"/>
    <w:rsid w:val="00E074A9"/>
    <w:rsid w:val="00E07739"/>
    <w:rsid w:val="00E07982"/>
    <w:rsid w:val="00E113B0"/>
    <w:rsid w:val="00E12E99"/>
    <w:rsid w:val="00E135DE"/>
    <w:rsid w:val="00E14B88"/>
    <w:rsid w:val="00E15812"/>
    <w:rsid w:val="00E16A12"/>
    <w:rsid w:val="00E16A50"/>
    <w:rsid w:val="00E16F0B"/>
    <w:rsid w:val="00E17192"/>
    <w:rsid w:val="00E17F56"/>
    <w:rsid w:val="00E20308"/>
    <w:rsid w:val="00E2234F"/>
    <w:rsid w:val="00E22C8D"/>
    <w:rsid w:val="00E238F4"/>
    <w:rsid w:val="00E24F15"/>
    <w:rsid w:val="00E256BE"/>
    <w:rsid w:val="00E25942"/>
    <w:rsid w:val="00E25989"/>
    <w:rsid w:val="00E25FD1"/>
    <w:rsid w:val="00E262EA"/>
    <w:rsid w:val="00E26501"/>
    <w:rsid w:val="00E26568"/>
    <w:rsid w:val="00E271DE"/>
    <w:rsid w:val="00E278E7"/>
    <w:rsid w:val="00E304F3"/>
    <w:rsid w:val="00E30586"/>
    <w:rsid w:val="00E30777"/>
    <w:rsid w:val="00E311A3"/>
    <w:rsid w:val="00E3122D"/>
    <w:rsid w:val="00E31748"/>
    <w:rsid w:val="00E31818"/>
    <w:rsid w:val="00E31F58"/>
    <w:rsid w:val="00E32DAC"/>
    <w:rsid w:val="00E33C2E"/>
    <w:rsid w:val="00E33E93"/>
    <w:rsid w:val="00E356E0"/>
    <w:rsid w:val="00E35CF3"/>
    <w:rsid w:val="00E37F50"/>
    <w:rsid w:val="00E40784"/>
    <w:rsid w:val="00E41600"/>
    <w:rsid w:val="00E42129"/>
    <w:rsid w:val="00E4267D"/>
    <w:rsid w:val="00E42687"/>
    <w:rsid w:val="00E42A66"/>
    <w:rsid w:val="00E43807"/>
    <w:rsid w:val="00E43EEE"/>
    <w:rsid w:val="00E44885"/>
    <w:rsid w:val="00E448EC"/>
    <w:rsid w:val="00E45E08"/>
    <w:rsid w:val="00E45FD7"/>
    <w:rsid w:val="00E466E8"/>
    <w:rsid w:val="00E476DC"/>
    <w:rsid w:val="00E47DC8"/>
    <w:rsid w:val="00E5129E"/>
    <w:rsid w:val="00E521EE"/>
    <w:rsid w:val="00E52720"/>
    <w:rsid w:val="00E53518"/>
    <w:rsid w:val="00E54FFE"/>
    <w:rsid w:val="00E575A5"/>
    <w:rsid w:val="00E57DDD"/>
    <w:rsid w:val="00E610CE"/>
    <w:rsid w:val="00E618A3"/>
    <w:rsid w:val="00E62422"/>
    <w:rsid w:val="00E62537"/>
    <w:rsid w:val="00E62606"/>
    <w:rsid w:val="00E62FA0"/>
    <w:rsid w:val="00E63386"/>
    <w:rsid w:val="00E635BA"/>
    <w:rsid w:val="00E6397D"/>
    <w:rsid w:val="00E66694"/>
    <w:rsid w:val="00E667B0"/>
    <w:rsid w:val="00E668B7"/>
    <w:rsid w:val="00E66912"/>
    <w:rsid w:val="00E66B65"/>
    <w:rsid w:val="00E66CE2"/>
    <w:rsid w:val="00E672A7"/>
    <w:rsid w:val="00E713D9"/>
    <w:rsid w:val="00E7258F"/>
    <w:rsid w:val="00E73156"/>
    <w:rsid w:val="00E73450"/>
    <w:rsid w:val="00E73578"/>
    <w:rsid w:val="00E74E83"/>
    <w:rsid w:val="00E7637F"/>
    <w:rsid w:val="00E765B9"/>
    <w:rsid w:val="00E76693"/>
    <w:rsid w:val="00E76843"/>
    <w:rsid w:val="00E769B2"/>
    <w:rsid w:val="00E77E84"/>
    <w:rsid w:val="00E77F85"/>
    <w:rsid w:val="00E81017"/>
    <w:rsid w:val="00E817D4"/>
    <w:rsid w:val="00E8295D"/>
    <w:rsid w:val="00E83C18"/>
    <w:rsid w:val="00E83C35"/>
    <w:rsid w:val="00E8468A"/>
    <w:rsid w:val="00E846F2"/>
    <w:rsid w:val="00E846F5"/>
    <w:rsid w:val="00E86EFA"/>
    <w:rsid w:val="00E87B85"/>
    <w:rsid w:val="00E87D1D"/>
    <w:rsid w:val="00E903DC"/>
    <w:rsid w:val="00E90989"/>
    <w:rsid w:val="00E90F63"/>
    <w:rsid w:val="00E9161A"/>
    <w:rsid w:val="00E919B5"/>
    <w:rsid w:val="00E9411B"/>
    <w:rsid w:val="00E94790"/>
    <w:rsid w:val="00E94D27"/>
    <w:rsid w:val="00E954E7"/>
    <w:rsid w:val="00E957E5"/>
    <w:rsid w:val="00E962EB"/>
    <w:rsid w:val="00E96A16"/>
    <w:rsid w:val="00E97297"/>
    <w:rsid w:val="00E97C6F"/>
    <w:rsid w:val="00E97E1D"/>
    <w:rsid w:val="00EA0C38"/>
    <w:rsid w:val="00EA0CDE"/>
    <w:rsid w:val="00EA1443"/>
    <w:rsid w:val="00EA1DA8"/>
    <w:rsid w:val="00EA205E"/>
    <w:rsid w:val="00EA221F"/>
    <w:rsid w:val="00EA241F"/>
    <w:rsid w:val="00EA25CF"/>
    <w:rsid w:val="00EA4002"/>
    <w:rsid w:val="00EA5900"/>
    <w:rsid w:val="00EB010B"/>
    <w:rsid w:val="00EB038A"/>
    <w:rsid w:val="00EB08D0"/>
    <w:rsid w:val="00EB1119"/>
    <w:rsid w:val="00EB2172"/>
    <w:rsid w:val="00EB2769"/>
    <w:rsid w:val="00EB4197"/>
    <w:rsid w:val="00EB4423"/>
    <w:rsid w:val="00EB44C1"/>
    <w:rsid w:val="00EB5BB5"/>
    <w:rsid w:val="00EB6619"/>
    <w:rsid w:val="00EB69C8"/>
    <w:rsid w:val="00EB6B99"/>
    <w:rsid w:val="00EB7625"/>
    <w:rsid w:val="00EC06F5"/>
    <w:rsid w:val="00EC0ECC"/>
    <w:rsid w:val="00EC118E"/>
    <w:rsid w:val="00EC32B9"/>
    <w:rsid w:val="00EC43C5"/>
    <w:rsid w:val="00EC4641"/>
    <w:rsid w:val="00EC4891"/>
    <w:rsid w:val="00EC5BD1"/>
    <w:rsid w:val="00EC6BFE"/>
    <w:rsid w:val="00EC723E"/>
    <w:rsid w:val="00EC7FCB"/>
    <w:rsid w:val="00ED17FE"/>
    <w:rsid w:val="00ED1C47"/>
    <w:rsid w:val="00ED3571"/>
    <w:rsid w:val="00ED4D6B"/>
    <w:rsid w:val="00ED4F4F"/>
    <w:rsid w:val="00ED5EC5"/>
    <w:rsid w:val="00ED5F1B"/>
    <w:rsid w:val="00ED744D"/>
    <w:rsid w:val="00ED7A41"/>
    <w:rsid w:val="00EE11EC"/>
    <w:rsid w:val="00EE2F10"/>
    <w:rsid w:val="00EE3D6F"/>
    <w:rsid w:val="00EE6348"/>
    <w:rsid w:val="00EE7B4B"/>
    <w:rsid w:val="00EF082E"/>
    <w:rsid w:val="00EF1FE6"/>
    <w:rsid w:val="00EF222B"/>
    <w:rsid w:val="00EF2BDA"/>
    <w:rsid w:val="00EF3EA1"/>
    <w:rsid w:val="00EF42E7"/>
    <w:rsid w:val="00EF6675"/>
    <w:rsid w:val="00EF6BED"/>
    <w:rsid w:val="00F004C5"/>
    <w:rsid w:val="00F00F74"/>
    <w:rsid w:val="00F017D3"/>
    <w:rsid w:val="00F01841"/>
    <w:rsid w:val="00F0192D"/>
    <w:rsid w:val="00F02776"/>
    <w:rsid w:val="00F03302"/>
    <w:rsid w:val="00F0341E"/>
    <w:rsid w:val="00F0364D"/>
    <w:rsid w:val="00F037C6"/>
    <w:rsid w:val="00F046E1"/>
    <w:rsid w:val="00F05FDA"/>
    <w:rsid w:val="00F07CE6"/>
    <w:rsid w:val="00F10A99"/>
    <w:rsid w:val="00F10DF4"/>
    <w:rsid w:val="00F1113F"/>
    <w:rsid w:val="00F112EC"/>
    <w:rsid w:val="00F12910"/>
    <w:rsid w:val="00F1313F"/>
    <w:rsid w:val="00F13E29"/>
    <w:rsid w:val="00F149ED"/>
    <w:rsid w:val="00F15498"/>
    <w:rsid w:val="00F15A88"/>
    <w:rsid w:val="00F1688B"/>
    <w:rsid w:val="00F16972"/>
    <w:rsid w:val="00F16A7F"/>
    <w:rsid w:val="00F16E68"/>
    <w:rsid w:val="00F1702A"/>
    <w:rsid w:val="00F215AA"/>
    <w:rsid w:val="00F22A1D"/>
    <w:rsid w:val="00F23B9B"/>
    <w:rsid w:val="00F25718"/>
    <w:rsid w:val="00F266B4"/>
    <w:rsid w:val="00F26A5A"/>
    <w:rsid w:val="00F26CA0"/>
    <w:rsid w:val="00F272A4"/>
    <w:rsid w:val="00F31E0F"/>
    <w:rsid w:val="00F351C8"/>
    <w:rsid w:val="00F371D8"/>
    <w:rsid w:val="00F373C6"/>
    <w:rsid w:val="00F375B6"/>
    <w:rsid w:val="00F404BC"/>
    <w:rsid w:val="00F40AB4"/>
    <w:rsid w:val="00F41DD5"/>
    <w:rsid w:val="00F41F50"/>
    <w:rsid w:val="00F42247"/>
    <w:rsid w:val="00F425DB"/>
    <w:rsid w:val="00F43FB9"/>
    <w:rsid w:val="00F44F53"/>
    <w:rsid w:val="00F453F7"/>
    <w:rsid w:val="00F457C4"/>
    <w:rsid w:val="00F46F8E"/>
    <w:rsid w:val="00F4725C"/>
    <w:rsid w:val="00F50388"/>
    <w:rsid w:val="00F50460"/>
    <w:rsid w:val="00F522CA"/>
    <w:rsid w:val="00F52756"/>
    <w:rsid w:val="00F52A1A"/>
    <w:rsid w:val="00F55EF5"/>
    <w:rsid w:val="00F562D7"/>
    <w:rsid w:val="00F57A17"/>
    <w:rsid w:val="00F60762"/>
    <w:rsid w:val="00F60847"/>
    <w:rsid w:val="00F60D90"/>
    <w:rsid w:val="00F62278"/>
    <w:rsid w:val="00F64297"/>
    <w:rsid w:val="00F66061"/>
    <w:rsid w:val="00F6629B"/>
    <w:rsid w:val="00F66534"/>
    <w:rsid w:val="00F67730"/>
    <w:rsid w:val="00F70B5B"/>
    <w:rsid w:val="00F733CD"/>
    <w:rsid w:val="00F74287"/>
    <w:rsid w:val="00F750E7"/>
    <w:rsid w:val="00F753F6"/>
    <w:rsid w:val="00F75727"/>
    <w:rsid w:val="00F8026A"/>
    <w:rsid w:val="00F833D0"/>
    <w:rsid w:val="00F83857"/>
    <w:rsid w:val="00F83FBA"/>
    <w:rsid w:val="00F84D9C"/>
    <w:rsid w:val="00F85371"/>
    <w:rsid w:val="00F857EF"/>
    <w:rsid w:val="00F858D4"/>
    <w:rsid w:val="00F86628"/>
    <w:rsid w:val="00F92E23"/>
    <w:rsid w:val="00F93765"/>
    <w:rsid w:val="00F94311"/>
    <w:rsid w:val="00F96683"/>
    <w:rsid w:val="00F97769"/>
    <w:rsid w:val="00FA1356"/>
    <w:rsid w:val="00FA28D9"/>
    <w:rsid w:val="00FA2A29"/>
    <w:rsid w:val="00FA71AC"/>
    <w:rsid w:val="00FA7251"/>
    <w:rsid w:val="00FA75AB"/>
    <w:rsid w:val="00FA7E62"/>
    <w:rsid w:val="00FB030D"/>
    <w:rsid w:val="00FB0625"/>
    <w:rsid w:val="00FB0BA7"/>
    <w:rsid w:val="00FB3B8E"/>
    <w:rsid w:val="00FB44F6"/>
    <w:rsid w:val="00FB4CEF"/>
    <w:rsid w:val="00FB4D18"/>
    <w:rsid w:val="00FB6175"/>
    <w:rsid w:val="00FB6372"/>
    <w:rsid w:val="00FB6E91"/>
    <w:rsid w:val="00FB70EB"/>
    <w:rsid w:val="00FC0998"/>
    <w:rsid w:val="00FC17DE"/>
    <w:rsid w:val="00FC21B6"/>
    <w:rsid w:val="00FC287E"/>
    <w:rsid w:val="00FC2A2D"/>
    <w:rsid w:val="00FC41E7"/>
    <w:rsid w:val="00FC43DD"/>
    <w:rsid w:val="00FC456D"/>
    <w:rsid w:val="00FC4727"/>
    <w:rsid w:val="00FC5BFC"/>
    <w:rsid w:val="00FC6251"/>
    <w:rsid w:val="00FC762B"/>
    <w:rsid w:val="00FC7BAA"/>
    <w:rsid w:val="00FC7CCE"/>
    <w:rsid w:val="00FD0A1F"/>
    <w:rsid w:val="00FD1D9C"/>
    <w:rsid w:val="00FD30D9"/>
    <w:rsid w:val="00FD38D2"/>
    <w:rsid w:val="00FD465D"/>
    <w:rsid w:val="00FD4FA9"/>
    <w:rsid w:val="00FD66EB"/>
    <w:rsid w:val="00FD6BA6"/>
    <w:rsid w:val="00FD7235"/>
    <w:rsid w:val="00FE06A8"/>
    <w:rsid w:val="00FE0A5D"/>
    <w:rsid w:val="00FE0F8A"/>
    <w:rsid w:val="00FE1491"/>
    <w:rsid w:val="00FE15E8"/>
    <w:rsid w:val="00FE26F3"/>
    <w:rsid w:val="00FE2856"/>
    <w:rsid w:val="00FE2A95"/>
    <w:rsid w:val="00FE3544"/>
    <w:rsid w:val="00FE3651"/>
    <w:rsid w:val="00FE37FC"/>
    <w:rsid w:val="00FE4BE3"/>
    <w:rsid w:val="00FE4DBA"/>
    <w:rsid w:val="00FE6A72"/>
    <w:rsid w:val="00FE6FCC"/>
    <w:rsid w:val="00FF092B"/>
    <w:rsid w:val="00FF1EF9"/>
    <w:rsid w:val="00FF2099"/>
    <w:rsid w:val="00FF229B"/>
    <w:rsid w:val="00FF2DF6"/>
    <w:rsid w:val="00FF5653"/>
    <w:rsid w:val="00FF5839"/>
    <w:rsid w:val="00FF5C59"/>
    <w:rsid w:val="00FF6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qFormat="1"/>
    <w:lsdException w:name="end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FDD"/>
    <w:pPr>
      <w:spacing w:before="180" w:line="360" w:lineRule="auto"/>
      <w:jc w:val="both"/>
    </w:pPr>
    <w:rPr>
      <w:rFonts w:eastAsia="Times New Roman"/>
      <w:sz w:val="24"/>
      <w:szCs w:val="24"/>
      <w:lang w:eastAsia="en-US"/>
    </w:rPr>
  </w:style>
  <w:style w:type="paragraph" w:styleId="1">
    <w:name w:val="heading 1"/>
    <w:basedOn w:val="a"/>
    <w:next w:val="a"/>
    <w:link w:val="1Char"/>
    <w:qFormat/>
    <w:rsid w:val="0049691C"/>
    <w:pPr>
      <w:keepNext/>
      <w:spacing w:before="240" w:after="60"/>
      <w:outlineLvl w:val="0"/>
    </w:pPr>
    <w:rPr>
      <w:rFonts w:ascii="Arial" w:hAnsi="Arial" w:cs="Arial"/>
      <w:b/>
      <w:bCs/>
      <w:kern w:val="32"/>
      <w:sz w:val="32"/>
      <w:szCs w:val="32"/>
    </w:rPr>
  </w:style>
  <w:style w:type="paragraph" w:styleId="2">
    <w:name w:val="heading 2"/>
    <w:basedOn w:val="a"/>
    <w:next w:val="a"/>
    <w:qFormat/>
    <w:rsid w:val="0049691C"/>
    <w:pPr>
      <w:keepNext/>
      <w:spacing w:before="240" w:after="60"/>
      <w:outlineLvl w:val="1"/>
    </w:pPr>
    <w:rPr>
      <w:rFonts w:ascii="Arial" w:hAnsi="Arial" w:cs="Arial"/>
      <w:b/>
      <w:bCs/>
      <w:i/>
      <w:iCs/>
      <w:sz w:val="28"/>
      <w:szCs w:val="28"/>
    </w:rPr>
  </w:style>
  <w:style w:type="paragraph" w:styleId="3">
    <w:name w:val="heading 3"/>
    <w:basedOn w:val="a"/>
    <w:next w:val="a"/>
    <w:qFormat/>
    <w:rsid w:val="0049691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t,Footnote Text Char Char Char Char Char Char Char Char Char Char,Footnote Text Char Char Char Char Char Char Char Char Char Char Char Char,Footnote Text2,ft2,Footnote Text Char Char Char Char Char Char Char Char Char Char2,FOOTNOTES,fn,C"/>
    <w:basedOn w:val="a"/>
    <w:link w:val="Char"/>
    <w:uiPriority w:val="99"/>
    <w:rsid w:val="0049691C"/>
    <w:rPr>
      <w:sz w:val="20"/>
      <w:szCs w:val="20"/>
    </w:rPr>
  </w:style>
  <w:style w:type="character" w:styleId="a4">
    <w:name w:val="footnote reference"/>
    <w:aliases w:val="Footnote Reference wdr,ftref,Знак сноски 1,Footnote text,BVI fnr,BVI fnr Char1,BVI fnr Car Car Char1,BVI fnr Car Char1,BVI fnr Car Car Car Car Char,BVI fnr Car Car Car Car Char Char,BVI fnr Char Char Char,BVI fnr Car Car Char Char Cha"/>
    <w:uiPriority w:val="99"/>
    <w:qFormat/>
    <w:rsid w:val="0049691C"/>
    <w:rPr>
      <w:vertAlign w:val="superscript"/>
    </w:rPr>
  </w:style>
  <w:style w:type="character" w:styleId="a5">
    <w:name w:val="annotation reference"/>
    <w:rsid w:val="002001B6"/>
    <w:rPr>
      <w:sz w:val="16"/>
      <w:szCs w:val="16"/>
    </w:rPr>
  </w:style>
  <w:style w:type="paragraph" w:styleId="a6">
    <w:name w:val="annotation text"/>
    <w:basedOn w:val="a"/>
    <w:link w:val="Char0"/>
    <w:uiPriority w:val="99"/>
    <w:rsid w:val="002001B6"/>
    <w:rPr>
      <w:sz w:val="20"/>
      <w:szCs w:val="20"/>
    </w:rPr>
  </w:style>
  <w:style w:type="paragraph" w:styleId="a7">
    <w:name w:val="annotation subject"/>
    <w:basedOn w:val="a6"/>
    <w:next w:val="a6"/>
    <w:semiHidden/>
    <w:rsid w:val="002001B6"/>
    <w:rPr>
      <w:b/>
      <w:bCs/>
    </w:rPr>
  </w:style>
  <w:style w:type="paragraph" w:styleId="a8">
    <w:name w:val="Balloon Text"/>
    <w:basedOn w:val="a"/>
    <w:semiHidden/>
    <w:rsid w:val="002001B6"/>
    <w:rPr>
      <w:rFonts w:ascii="Tahoma" w:hAnsi="Tahoma" w:cs="Tahoma"/>
      <w:sz w:val="16"/>
      <w:szCs w:val="16"/>
    </w:rPr>
  </w:style>
  <w:style w:type="character" w:styleId="a9">
    <w:name w:val="Hyperlink"/>
    <w:uiPriority w:val="99"/>
    <w:rsid w:val="00F90BC9"/>
    <w:rPr>
      <w:color w:val="0000FF"/>
      <w:u w:val="single"/>
    </w:rPr>
  </w:style>
  <w:style w:type="paragraph" w:customStyle="1" w:styleId="Bullets">
    <w:name w:val="Bullets"/>
    <w:basedOn w:val="a"/>
    <w:rsid w:val="00FC21B6"/>
    <w:pPr>
      <w:numPr>
        <w:numId w:val="5"/>
      </w:numPr>
    </w:pPr>
    <w:rPr>
      <w:rFonts w:ascii="AGaramond" w:eastAsia="SimSun" w:hAnsi="AGaramond"/>
      <w:sz w:val="21"/>
      <w:lang w:eastAsia="zh-CN"/>
    </w:rPr>
  </w:style>
  <w:style w:type="paragraph" w:customStyle="1" w:styleId="Default">
    <w:name w:val="Default"/>
    <w:rsid w:val="000B720C"/>
    <w:pPr>
      <w:autoSpaceDE w:val="0"/>
      <w:autoSpaceDN w:val="0"/>
      <w:adjustRightInd w:val="0"/>
    </w:pPr>
    <w:rPr>
      <w:rFonts w:ascii="FJGLA O+ Shaker 2 Lancet" w:eastAsia="Times New Roman" w:hAnsi="FJGLA O+ Shaker 2 Lancet" w:cs="FJGLA O+ Shaker 2 Lancet"/>
      <w:color w:val="000000"/>
      <w:sz w:val="24"/>
      <w:szCs w:val="24"/>
      <w:lang w:val="en-US" w:eastAsia="en-US"/>
    </w:rPr>
  </w:style>
  <w:style w:type="character" w:customStyle="1" w:styleId="Char">
    <w:name w:val="脚注文本 Char"/>
    <w:aliases w:val="ft Char,Footnote Text Char Char Char Char Char Char Char Char Char Char Char,Footnote Text Char Char Char Char Char Char Char Char Char Char Char Char Char,Footnote Text2 Char,ft2 Char,FOOTNOTES Char,fn Char,C Char"/>
    <w:link w:val="a3"/>
    <w:uiPriority w:val="99"/>
    <w:rsid w:val="000B720C"/>
    <w:rPr>
      <w:rFonts w:eastAsia="Times New Roman"/>
      <w:lang w:val="en-US" w:eastAsia="en-US"/>
    </w:rPr>
  </w:style>
  <w:style w:type="character" w:styleId="aa">
    <w:name w:val="FollowedHyperlink"/>
    <w:rsid w:val="00C220EF"/>
    <w:rPr>
      <w:color w:val="800080"/>
      <w:u w:val="single"/>
    </w:rPr>
  </w:style>
  <w:style w:type="paragraph" w:styleId="ab">
    <w:name w:val="List Paragraph"/>
    <w:basedOn w:val="a"/>
    <w:uiPriority w:val="34"/>
    <w:qFormat/>
    <w:rsid w:val="00116A92"/>
    <w:pPr>
      <w:ind w:left="720"/>
      <w:contextualSpacing/>
    </w:pPr>
    <w:rPr>
      <w:rFonts w:eastAsia="Calibri"/>
      <w:lang w:eastAsia="zh-CN"/>
    </w:rPr>
  </w:style>
  <w:style w:type="table" w:styleId="ac">
    <w:name w:val="Table Grid"/>
    <w:basedOn w:val="a1"/>
    <w:uiPriority w:val="39"/>
    <w:rsid w:val="00370A4F"/>
    <w:rPr>
      <w:rFonts w:ascii="Cambria" w:eastAsia="MS Mincho" w:hAnsi="Cambria"/>
      <w:sz w:val="24"/>
      <w:szCs w:val="24"/>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Default"/>
    <w:next w:val="Default"/>
    <w:uiPriority w:val="99"/>
    <w:rsid w:val="008B1B6E"/>
    <w:pPr>
      <w:spacing w:line="241" w:lineRule="atLeast"/>
    </w:pPr>
    <w:rPr>
      <w:rFonts w:ascii="Open Sans" w:eastAsia="SimSun" w:hAnsi="Open Sans" w:cs="Times New Roman"/>
      <w:color w:val="auto"/>
      <w:lang w:val="en-GB" w:eastAsia="en-GB"/>
    </w:rPr>
  </w:style>
  <w:style w:type="character" w:customStyle="1" w:styleId="A12">
    <w:name w:val="A12"/>
    <w:uiPriority w:val="99"/>
    <w:rsid w:val="008B1B6E"/>
    <w:rPr>
      <w:rFonts w:cs="Open Sans"/>
      <w:color w:val="000000"/>
      <w:sz w:val="15"/>
      <w:szCs w:val="15"/>
    </w:rPr>
  </w:style>
  <w:style w:type="paragraph" w:customStyle="1" w:styleId="EndNoteBibliography">
    <w:name w:val="EndNote Bibliography"/>
    <w:basedOn w:val="a"/>
    <w:rsid w:val="00031405"/>
    <w:pPr>
      <w:spacing w:after="60"/>
    </w:pPr>
    <w:rPr>
      <w:rFonts w:ascii="Helvetica Neue" w:hAnsi="Helvetica Neue"/>
      <w:sz w:val="22"/>
      <w:lang w:eastAsia="ja-JP"/>
    </w:rPr>
  </w:style>
  <w:style w:type="paragraph" w:customStyle="1" w:styleId="paragraph">
    <w:name w:val="paragraph"/>
    <w:basedOn w:val="a"/>
    <w:next w:val="a"/>
    <w:link w:val="paragraphChar"/>
    <w:qFormat/>
    <w:rsid w:val="00031405"/>
    <w:pPr>
      <w:tabs>
        <w:tab w:val="left" w:pos="434"/>
      </w:tabs>
      <w:spacing w:after="120"/>
      <w:ind w:right="1"/>
    </w:pPr>
    <w:rPr>
      <w:rFonts w:eastAsia="Calibri"/>
      <w:sz w:val="20"/>
      <w:szCs w:val="22"/>
    </w:rPr>
  </w:style>
  <w:style w:type="character" w:customStyle="1" w:styleId="paragraphChar">
    <w:name w:val="paragraph Char"/>
    <w:link w:val="paragraph"/>
    <w:rsid w:val="00031405"/>
    <w:rPr>
      <w:rFonts w:eastAsia="Calibri"/>
      <w:szCs w:val="22"/>
      <w:lang w:eastAsia="en-US"/>
    </w:rPr>
  </w:style>
  <w:style w:type="paragraph" w:customStyle="1" w:styleId="source2">
    <w:name w:val="source 2"/>
    <w:basedOn w:val="a"/>
    <w:link w:val="source2Char"/>
    <w:qFormat/>
    <w:rsid w:val="00031405"/>
    <w:pPr>
      <w:tabs>
        <w:tab w:val="left" w:pos="434"/>
        <w:tab w:val="left" w:pos="658"/>
        <w:tab w:val="left" w:pos="2217"/>
        <w:tab w:val="left" w:pos="2693"/>
        <w:tab w:val="left" w:pos="3180"/>
        <w:tab w:val="left" w:pos="3657"/>
        <w:tab w:val="left" w:pos="4133"/>
        <w:tab w:val="left" w:pos="4620"/>
        <w:tab w:val="left" w:pos="5097"/>
        <w:tab w:val="left" w:pos="5573"/>
        <w:tab w:val="left" w:pos="5992"/>
      </w:tabs>
      <w:spacing w:after="40" w:line="210" w:lineRule="exact"/>
    </w:pPr>
    <w:rPr>
      <w:rFonts w:eastAsia="Calibri"/>
      <w:sz w:val="16"/>
      <w:szCs w:val="16"/>
    </w:rPr>
  </w:style>
  <w:style w:type="character" w:customStyle="1" w:styleId="source2Char">
    <w:name w:val="source 2 Char"/>
    <w:link w:val="source2"/>
    <w:rsid w:val="00031405"/>
    <w:rPr>
      <w:rFonts w:eastAsia="Calibri"/>
      <w:sz w:val="16"/>
      <w:szCs w:val="16"/>
      <w:lang w:eastAsia="en-US"/>
    </w:rPr>
  </w:style>
  <w:style w:type="paragraph" w:customStyle="1" w:styleId="Footnote">
    <w:name w:val="Footnote"/>
    <w:basedOn w:val="a"/>
    <w:uiPriority w:val="99"/>
    <w:rsid w:val="00031405"/>
    <w:pPr>
      <w:keepNext/>
      <w:tabs>
        <w:tab w:val="left" w:pos="397"/>
      </w:tabs>
      <w:autoSpaceDE w:val="0"/>
      <w:autoSpaceDN w:val="0"/>
      <w:adjustRightInd w:val="0"/>
      <w:spacing w:before="57" w:after="57" w:line="180" w:lineRule="atLeast"/>
      <w:ind w:left="340" w:hanging="340"/>
      <w:textAlignment w:val="center"/>
    </w:pPr>
    <w:rPr>
      <w:rFonts w:ascii="Adobe Garamond Pro" w:eastAsia="Calibri" w:hAnsi="Adobe Garamond Pro" w:cs="Adobe Garamond Pro"/>
      <w:color w:val="000000"/>
      <w:sz w:val="16"/>
      <w:szCs w:val="16"/>
    </w:rPr>
  </w:style>
  <w:style w:type="paragraph" w:customStyle="1" w:styleId="H2">
    <w:name w:val="H2"/>
    <w:basedOn w:val="a"/>
    <w:link w:val="H2Char"/>
    <w:qFormat/>
    <w:rsid w:val="00031405"/>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line="240" w:lineRule="exact"/>
      <w:outlineLvl w:val="1"/>
    </w:pPr>
    <w:rPr>
      <w:rFonts w:eastAsia="Calibri"/>
      <w:b/>
      <w:spacing w:val="2"/>
      <w:sz w:val="20"/>
      <w:szCs w:val="22"/>
    </w:rPr>
  </w:style>
  <w:style w:type="character" w:customStyle="1" w:styleId="H2Char">
    <w:name w:val="H2 Char"/>
    <w:link w:val="H2"/>
    <w:rsid w:val="00031405"/>
    <w:rPr>
      <w:rFonts w:eastAsia="Calibri"/>
      <w:b/>
      <w:spacing w:val="2"/>
      <w:szCs w:val="22"/>
      <w:lang w:eastAsia="en-US"/>
    </w:rPr>
  </w:style>
  <w:style w:type="paragraph" w:styleId="ad">
    <w:name w:val="Revision"/>
    <w:hidden/>
    <w:uiPriority w:val="99"/>
    <w:semiHidden/>
    <w:rsid w:val="004C2FF6"/>
    <w:rPr>
      <w:rFonts w:eastAsia="Times New Roman"/>
      <w:sz w:val="24"/>
      <w:szCs w:val="24"/>
      <w:lang w:val="en-US" w:eastAsia="en-US"/>
    </w:rPr>
  </w:style>
  <w:style w:type="character" w:customStyle="1" w:styleId="Char0">
    <w:name w:val="批注文字 Char"/>
    <w:link w:val="a6"/>
    <w:uiPriority w:val="99"/>
    <w:rsid w:val="00E0022A"/>
    <w:rPr>
      <w:rFonts w:eastAsia="Times New Roman"/>
      <w:lang w:val="en-US" w:eastAsia="en-US"/>
    </w:rPr>
  </w:style>
  <w:style w:type="character" w:customStyle="1" w:styleId="apple-converted-space">
    <w:name w:val="apple-converted-space"/>
    <w:rsid w:val="0099624D"/>
  </w:style>
  <w:style w:type="table" w:styleId="-1">
    <w:name w:val="Colorful Grid Accent 1"/>
    <w:basedOn w:val="a1"/>
    <w:uiPriority w:val="73"/>
    <w:rsid w:val="00684C08"/>
    <w:rPr>
      <w:rFonts w:eastAsia="Calibri"/>
      <w:color w:val="00000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ae">
    <w:name w:val="header"/>
    <w:basedOn w:val="a"/>
    <w:link w:val="Char1"/>
    <w:uiPriority w:val="99"/>
    <w:rsid w:val="00BF2E7D"/>
    <w:pPr>
      <w:tabs>
        <w:tab w:val="center" w:pos="4513"/>
        <w:tab w:val="right" w:pos="9026"/>
      </w:tabs>
    </w:pPr>
  </w:style>
  <w:style w:type="character" w:customStyle="1" w:styleId="Char1">
    <w:name w:val="页眉 Char"/>
    <w:link w:val="ae"/>
    <w:uiPriority w:val="99"/>
    <w:rsid w:val="00BF2E7D"/>
    <w:rPr>
      <w:rFonts w:eastAsia="Times New Roman"/>
      <w:sz w:val="24"/>
      <w:szCs w:val="24"/>
      <w:lang w:val="en-US" w:eastAsia="en-US"/>
    </w:rPr>
  </w:style>
  <w:style w:type="paragraph" w:styleId="af">
    <w:name w:val="footer"/>
    <w:basedOn w:val="a"/>
    <w:link w:val="Char2"/>
    <w:uiPriority w:val="99"/>
    <w:rsid w:val="00BF2E7D"/>
    <w:pPr>
      <w:tabs>
        <w:tab w:val="center" w:pos="4513"/>
        <w:tab w:val="right" w:pos="9026"/>
      </w:tabs>
    </w:pPr>
  </w:style>
  <w:style w:type="character" w:customStyle="1" w:styleId="Char2">
    <w:name w:val="页脚 Char"/>
    <w:link w:val="af"/>
    <w:uiPriority w:val="99"/>
    <w:rsid w:val="00BF2E7D"/>
    <w:rPr>
      <w:rFonts w:eastAsia="Times New Roman"/>
      <w:sz w:val="24"/>
      <w:szCs w:val="24"/>
      <w:lang w:val="en-US" w:eastAsia="en-US"/>
    </w:rPr>
  </w:style>
  <w:style w:type="character" w:customStyle="1" w:styleId="Mention">
    <w:name w:val="Mention"/>
    <w:uiPriority w:val="99"/>
    <w:semiHidden/>
    <w:unhideWhenUsed/>
    <w:rsid w:val="006E7636"/>
    <w:rPr>
      <w:color w:val="2B579A"/>
      <w:shd w:val="clear" w:color="auto" w:fill="E6E6E6"/>
    </w:rPr>
  </w:style>
  <w:style w:type="paragraph" w:styleId="TOC">
    <w:name w:val="TOC Heading"/>
    <w:basedOn w:val="1"/>
    <w:next w:val="a"/>
    <w:uiPriority w:val="39"/>
    <w:unhideWhenUsed/>
    <w:qFormat/>
    <w:rsid w:val="00840F68"/>
    <w:pPr>
      <w:keepLines/>
      <w:spacing w:after="0" w:line="259" w:lineRule="auto"/>
      <w:outlineLvl w:val="9"/>
    </w:pPr>
    <w:rPr>
      <w:rFonts w:ascii="Calibri Light" w:eastAsia="DengXian Light" w:hAnsi="Calibri Light" w:cs="Times New Roman"/>
      <w:b w:val="0"/>
      <w:bCs w:val="0"/>
      <w:color w:val="2F5496"/>
      <w:kern w:val="0"/>
    </w:rPr>
  </w:style>
  <w:style w:type="paragraph" w:styleId="10">
    <w:name w:val="toc 1"/>
    <w:basedOn w:val="a"/>
    <w:next w:val="a"/>
    <w:autoRedefine/>
    <w:uiPriority w:val="39"/>
    <w:rsid w:val="009B63B4"/>
    <w:pPr>
      <w:tabs>
        <w:tab w:val="left" w:pos="480"/>
        <w:tab w:val="right" w:leader="dot" w:pos="9017"/>
      </w:tabs>
      <w:jc w:val="center"/>
    </w:pPr>
    <w:rPr>
      <w:noProof/>
      <w:color w:val="000000"/>
      <w:sz w:val="32"/>
      <w:szCs w:val="32"/>
    </w:rPr>
  </w:style>
  <w:style w:type="paragraph" w:styleId="30">
    <w:name w:val="toc 3"/>
    <w:basedOn w:val="a"/>
    <w:next w:val="a"/>
    <w:autoRedefine/>
    <w:uiPriority w:val="39"/>
    <w:rsid w:val="00271E48"/>
    <w:pPr>
      <w:tabs>
        <w:tab w:val="right" w:leader="dot" w:pos="9017"/>
      </w:tabs>
      <w:ind w:left="480"/>
    </w:pPr>
    <w:rPr>
      <w:i/>
      <w:iCs/>
      <w:noProof/>
    </w:rPr>
  </w:style>
  <w:style w:type="paragraph" w:styleId="af0">
    <w:name w:val="Title"/>
    <w:basedOn w:val="a"/>
    <w:next w:val="a"/>
    <w:link w:val="Char3"/>
    <w:qFormat/>
    <w:rsid w:val="003C571D"/>
    <w:pPr>
      <w:spacing w:before="240" w:after="60"/>
      <w:jc w:val="center"/>
      <w:outlineLvl w:val="0"/>
    </w:pPr>
    <w:rPr>
      <w:rFonts w:ascii="Calibri Light" w:eastAsia="DengXian Light" w:hAnsi="Calibri Light"/>
      <w:b/>
      <w:bCs/>
      <w:kern w:val="28"/>
      <w:sz w:val="32"/>
      <w:szCs w:val="32"/>
    </w:rPr>
  </w:style>
  <w:style w:type="character" w:customStyle="1" w:styleId="Char3">
    <w:name w:val="标题 Char"/>
    <w:link w:val="af0"/>
    <w:rsid w:val="003C571D"/>
    <w:rPr>
      <w:rFonts w:ascii="Calibri Light" w:eastAsia="DengXian Light" w:hAnsi="Calibri Light" w:cs="Times New Roman"/>
      <w:b/>
      <w:bCs/>
      <w:kern w:val="28"/>
      <w:sz w:val="32"/>
      <w:szCs w:val="32"/>
      <w:lang w:val="en-US" w:eastAsia="en-US"/>
    </w:rPr>
  </w:style>
  <w:style w:type="paragraph" w:styleId="20">
    <w:name w:val="toc 2"/>
    <w:basedOn w:val="a"/>
    <w:next w:val="a"/>
    <w:autoRedefine/>
    <w:uiPriority w:val="39"/>
    <w:rsid w:val="00B73601"/>
    <w:pPr>
      <w:tabs>
        <w:tab w:val="right" w:leader="dot" w:pos="9017"/>
      </w:tabs>
      <w:spacing w:line="480" w:lineRule="auto"/>
      <w:ind w:left="240"/>
    </w:pPr>
  </w:style>
  <w:style w:type="character" w:customStyle="1" w:styleId="1Char">
    <w:name w:val="标题 1 Char"/>
    <w:link w:val="1"/>
    <w:rsid w:val="0000625E"/>
    <w:rPr>
      <w:rFonts w:ascii="Arial" w:eastAsia="Times New Roman" w:hAnsi="Arial" w:cs="Arial"/>
      <w:b/>
      <w:bCs/>
      <w:kern w:val="32"/>
      <w:sz w:val="32"/>
      <w:szCs w:val="32"/>
      <w:lang w:val="en-US" w:eastAsia="en-US"/>
    </w:rPr>
  </w:style>
  <w:style w:type="character" w:styleId="af1">
    <w:name w:val="Emphasis"/>
    <w:qFormat/>
    <w:rsid w:val="006466B7"/>
    <w:rPr>
      <w:i/>
      <w:iCs/>
    </w:rPr>
  </w:style>
  <w:style w:type="character" w:customStyle="1" w:styleId="UnresolvedMention">
    <w:name w:val="Unresolved Mention"/>
    <w:uiPriority w:val="99"/>
    <w:semiHidden/>
    <w:unhideWhenUsed/>
    <w:rsid w:val="0048107F"/>
    <w:rPr>
      <w:color w:val="808080"/>
      <w:shd w:val="clear" w:color="auto" w:fill="E6E6E6"/>
    </w:rPr>
  </w:style>
  <w:style w:type="character" w:styleId="af2">
    <w:name w:val="Strong"/>
    <w:qFormat/>
    <w:rsid w:val="00FB4CEF"/>
    <w:rPr>
      <w:b/>
      <w:bCs/>
    </w:rPr>
  </w:style>
  <w:style w:type="paragraph" w:styleId="af3">
    <w:name w:val="endnote text"/>
    <w:basedOn w:val="a"/>
    <w:link w:val="Char4"/>
    <w:rsid w:val="00B24F59"/>
    <w:rPr>
      <w:sz w:val="20"/>
      <w:szCs w:val="20"/>
    </w:rPr>
  </w:style>
  <w:style w:type="character" w:customStyle="1" w:styleId="Char4">
    <w:name w:val="尾注文本 Char"/>
    <w:link w:val="af3"/>
    <w:rsid w:val="00B24F59"/>
    <w:rPr>
      <w:rFonts w:eastAsia="Times New Roman"/>
      <w:lang w:val="en-US" w:eastAsia="en-US"/>
    </w:rPr>
  </w:style>
  <w:style w:type="character" w:styleId="af4">
    <w:name w:val="endnote reference"/>
    <w:uiPriority w:val="99"/>
    <w:rsid w:val="00B24F59"/>
    <w:rPr>
      <w:vertAlign w:val="superscript"/>
    </w:rPr>
  </w:style>
  <w:style w:type="paragraph" w:styleId="af5">
    <w:name w:val="Normal (Web)"/>
    <w:basedOn w:val="a"/>
    <w:uiPriority w:val="99"/>
    <w:unhideWhenUsed/>
    <w:rsid w:val="00B71C2F"/>
    <w:pPr>
      <w:spacing w:before="100" w:beforeAutospacing="1" w:after="100" w:afterAutospacing="1"/>
    </w:pPr>
    <w:rPr>
      <w:lang w:eastAsia="zh-CN"/>
    </w:rPr>
  </w:style>
  <w:style w:type="paragraph" w:customStyle="1" w:styleId="Source">
    <w:name w:val="Source"/>
    <w:basedOn w:val="a"/>
    <w:next w:val="a"/>
    <w:uiPriority w:val="99"/>
    <w:rsid w:val="00B71735"/>
    <w:pPr>
      <w:tabs>
        <w:tab w:val="left" w:pos="283"/>
      </w:tabs>
      <w:autoSpaceDE w:val="0"/>
      <w:autoSpaceDN w:val="0"/>
      <w:adjustRightInd w:val="0"/>
      <w:spacing w:before="57" w:after="57" w:line="170" w:lineRule="atLeast"/>
      <w:textAlignment w:val="center"/>
    </w:pPr>
    <w:rPr>
      <w:rFonts w:ascii="Adobe Garamond Pro" w:eastAsia="DengXian" w:hAnsi="Adobe Garamond Pro" w:cs="Frutiger 45"/>
      <w:color w:val="000000"/>
      <w:sz w:val="18"/>
      <w:szCs w:val="15"/>
      <w:lang w:eastAsia="zh-CN"/>
    </w:rPr>
  </w:style>
  <w:style w:type="paragraph" w:customStyle="1" w:styleId="Figure">
    <w:name w:val="Figure"/>
    <w:basedOn w:val="a"/>
    <w:next w:val="a"/>
    <w:link w:val="FigureChar"/>
    <w:uiPriority w:val="99"/>
    <w:rsid w:val="00B71735"/>
    <w:pPr>
      <w:numPr>
        <w:numId w:val="23"/>
      </w:numPr>
      <w:autoSpaceDE w:val="0"/>
      <w:autoSpaceDN w:val="0"/>
      <w:adjustRightInd w:val="0"/>
      <w:spacing w:line="240" w:lineRule="atLeast"/>
      <w:textAlignment w:val="center"/>
    </w:pPr>
    <w:rPr>
      <w:rFonts w:ascii="Adobe Garamond Pro" w:eastAsia="DengXian" w:hAnsi="Adobe Garamond Pro" w:cs="Frutiger 45"/>
      <w:b/>
      <w:color w:val="000000"/>
      <w:spacing w:val="-2"/>
      <w:szCs w:val="20"/>
      <w:lang w:eastAsia="zh-CN"/>
    </w:rPr>
  </w:style>
  <w:style w:type="character" w:customStyle="1" w:styleId="FigureChar">
    <w:name w:val="Figure Char"/>
    <w:link w:val="Figure"/>
    <w:uiPriority w:val="99"/>
    <w:rsid w:val="00B71735"/>
    <w:rPr>
      <w:rFonts w:ascii="Adobe Garamond Pro" w:eastAsia="DengXian" w:hAnsi="Adobe Garamond Pro" w:cs="Frutiger 45"/>
      <w:b/>
      <w:color w:val="000000"/>
      <w:spacing w:val="-2"/>
      <w:sz w:val="24"/>
    </w:rPr>
  </w:style>
  <w:style w:type="paragraph" w:styleId="af6">
    <w:name w:val="caption"/>
    <w:basedOn w:val="a"/>
    <w:next w:val="a"/>
    <w:uiPriority w:val="35"/>
    <w:unhideWhenUsed/>
    <w:qFormat/>
    <w:rsid w:val="00F16E68"/>
    <w:pPr>
      <w:spacing w:after="200"/>
    </w:pPr>
    <w:rPr>
      <w:rFonts w:ascii="Calibri" w:eastAsia="Calibri" w:hAnsi="Calibri" w:cs="Calibri"/>
      <w:i/>
      <w:iCs/>
      <w:color w:val="44546A"/>
      <w:sz w:val="18"/>
      <w:szCs w:val="18"/>
    </w:rPr>
  </w:style>
  <w:style w:type="paragraph" w:customStyle="1" w:styleId="BasistekstKWR">
    <w:name w:val="Basistekst KWR"/>
    <w:basedOn w:val="a"/>
    <w:qFormat/>
    <w:rsid w:val="00F16E68"/>
    <w:pPr>
      <w:spacing w:line="280" w:lineRule="atLeast"/>
    </w:pPr>
    <w:rPr>
      <w:rFonts w:ascii="Calibri Light" w:hAnsi="Calibri Light" w:cs="Maiandra GD"/>
      <w:color w:val="000000"/>
      <w:sz w:val="20"/>
      <w:szCs w:val="18"/>
      <w:lang w:val="nl-NL" w:eastAsia="nl-NL"/>
    </w:rPr>
  </w:style>
  <w:style w:type="character" w:customStyle="1" w:styleId="spelle">
    <w:name w:val="spelle"/>
    <w:basedOn w:val="a0"/>
    <w:rsid w:val="00375658"/>
  </w:style>
</w:styles>
</file>

<file path=word/webSettings.xml><?xml version="1.0" encoding="utf-8"?>
<w:webSettings xmlns:r="http://schemas.openxmlformats.org/officeDocument/2006/relationships" xmlns:w="http://schemas.openxmlformats.org/wordprocessingml/2006/main">
  <w:divs>
    <w:div w:id="20400307">
      <w:bodyDiv w:val="1"/>
      <w:marLeft w:val="0"/>
      <w:marRight w:val="0"/>
      <w:marTop w:val="0"/>
      <w:marBottom w:val="0"/>
      <w:divBdr>
        <w:top w:val="none" w:sz="0" w:space="0" w:color="auto"/>
        <w:left w:val="none" w:sz="0" w:space="0" w:color="auto"/>
        <w:bottom w:val="none" w:sz="0" w:space="0" w:color="auto"/>
        <w:right w:val="none" w:sz="0" w:space="0" w:color="auto"/>
      </w:divBdr>
    </w:div>
    <w:div w:id="42336727">
      <w:bodyDiv w:val="1"/>
      <w:marLeft w:val="0"/>
      <w:marRight w:val="0"/>
      <w:marTop w:val="0"/>
      <w:marBottom w:val="0"/>
      <w:divBdr>
        <w:top w:val="none" w:sz="0" w:space="0" w:color="auto"/>
        <w:left w:val="none" w:sz="0" w:space="0" w:color="auto"/>
        <w:bottom w:val="none" w:sz="0" w:space="0" w:color="auto"/>
        <w:right w:val="none" w:sz="0" w:space="0" w:color="auto"/>
      </w:divBdr>
      <w:divsChild>
        <w:div w:id="1517110130">
          <w:marLeft w:val="0"/>
          <w:marRight w:val="0"/>
          <w:marTop w:val="0"/>
          <w:marBottom w:val="0"/>
          <w:divBdr>
            <w:top w:val="none" w:sz="0" w:space="0" w:color="auto"/>
            <w:left w:val="none" w:sz="0" w:space="0" w:color="auto"/>
            <w:bottom w:val="none" w:sz="0" w:space="0" w:color="auto"/>
            <w:right w:val="none" w:sz="0" w:space="0" w:color="auto"/>
          </w:divBdr>
        </w:div>
      </w:divsChild>
    </w:div>
    <w:div w:id="53820829">
      <w:bodyDiv w:val="1"/>
      <w:marLeft w:val="0"/>
      <w:marRight w:val="0"/>
      <w:marTop w:val="0"/>
      <w:marBottom w:val="0"/>
      <w:divBdr>
        <w:top w:val="none" w:sz="0" w:space="0" w:color="auto"/>
        <w:left w:val="none" w:sz="0" w:space="0" w:color="auto"/>
        <w:bottom w:val="none" w:sz="0" w:space="0" w:color="auto"/>
        <w:right w:val="none" w:sz="0" w:space="0" w:color="auto"/>
      </w:divBdr>
    </w:div>
    <w:div w:id="56630066">
      <w:bodyDiv w:val="1"/>
      <w:marLeft w:val="0"/>
      <w:marRight w:val="0"/>
      <w:marTop w:val="0"/>
      <w:marBottom w:val="0"/>
      <w:divBdr>
        <w:top w:val="none" w:sz="0" w:space="0" w:color="auto"/>
        <w:left w:val="none" w:sz="0" w:space="0" w:color="auto"/>
        <w:bottom w:val="none" w:sz="0" w:space="0" w:color="auto"/>
        <w:right w:val="none" w:sz="0" w:space="0" w:color="auto"/>
      </w:divBdr>
    </w:div>
    <w:div w:id="132217449">
      <w:bodyDiv w:val="1"/>
      <w:marLeft w:val="0"/>
      <w:marRight w:val="0"/>
      <w:marTop w:val="0"/>
      <w:marBottom w:val="0"/>
      <w:divBdr>
        <w:top w:val="none" w:sz="0" w:space="0" w:color="auto"/>
        <w:left w:val="none" w:sz="0" w:space="0" w:color="auto"/>
        <w:bottom w:val="none" w:sz="0" w:space="0" w:color="auto"/>
        <w:right w:val="none" w:sz="0" w:space="0" w:color="auto"/>
      </w:divBdr>
    </w:div>
    <w:div w:id="171919746">
      <w:bodyDiv w:val="1"/>
      <w:marLeft w:val="0"/>
      <w:marRight w:val="0"/>
      <w:marTop w:val="0"/>
      <w:marBottom w:val="0"/>
      <w:divBdr>
        <w:top w:val="none" w:sz="0" w:space="0" w:color="auto"/>
        <w:left w:val="none" w:sz="0" w:space="0" w:color="auto"/>
        <w:bottom w:val="none" w:sz="0" w:space="0" w:color="auto"/>
        <w:right w:val="none" w:sz="0" w:space="0" w:color="auto"/>
      </w:divBdr>
    </w:div>
    <w:div w:id="195388040">
      <w:bodyDiv w:val="1"/>
      <w:marLeft w:val="0"/>
      <w:marRight w:val="0"/>
      <w:marTop w:val="0"/>
      <w:marBottom w:val="0"/>
      <w:divBdr>
        <w:top w:val="none" w:sz="0" w:space="0" w:color="auto"/>
        <w:left w:val="none" w:sz="0" w:space="0" w:color="auto"/>
        <w:bottom w:val="none" w:sz="0" w:space="0" w:color="auto"/>
        <w:right w:val="none" w:sz="0" w:space="0" w:color="auto"/>
      </w:divBdr>
    </w:div>
    <w:div w:id="235290584">
      <w:bodyDiv w:val="1"/>
      <w:marLeft w:val="0"/>
      <w:marRight w:val="0"/>
      <w:marTop w:val="0"/>
      <w:marBottom w:val="0"/>
      <w:divBdr>
        <w:top w:val="none" w:sz="0" w:space="0" w:color="auto"/>
        <w:left w:val="none" w:sz="0" w:space="0" w:color="auto"/>
        <w:bottom w:val="none" w:sz="0" w:space="0" w:color="auto"/>
        <w:right w:val="none" w:sz="0" w:space="0" w:color="auto"/>
      </w:divBdr>
    </w:div>
    <w:div w:id="241185877">
      <w:bodyDiv w:val="1"/>
      <w:marLeft w:val="0"/>
      <w:marRight w:val="0"/>
      <w:marTop w:val="0"/>
      <w:marBottom w:val="0"/>
      <w:divBdr>
        <w:top w:val="none" w:sz="0" w:space="0" w:color="auto"/>
        <w:left w:val="none" w:sz="0" w:space="0" w:color="auto"/>
        <w:bottom w:val="none" w:sz="0" w:space="0" w:color="auto"/>
        <w:right w:val="none" w:sz="0" w:space="0" w:color="auto"/>
      </w:divBdr>
    </w:div>
    <w:div w:id="314143246">
      <w:bodyDiv w:val="1"/>
      <w:marLeft w:val="0"/>
      <w:marRight w:val="0"/>
      <w:marTop w:val="0"/>
      <w:marBottom w:val="0"/>
      <w:divBdr>
        <w:top w:val="none" w:sz="0" w:space="0" w:color="auto"/>
        <w:left w:val="none" w:sz="0" w:space="0" w:color="auto"/>
        <w:bottom w:val="none" w:sz="0" w:space="0" w:color="auto"/>
        <w:right w:val="none" w:sz="0" w:space="0" w:color="auto"/>
      </w:divBdr>
    </w:div>
    <w:div w:id="369184690">
      <w:bodyDiv w:val="1"/>
      <w:marLeft w:val="0"/>
      <w:marRight w:val="0"/>
      <w:marTop w:val="0"/>
      <w:marBottom w:val="0"/>
      <w:divBdr>
        <w:top w:val="none" w:sz="0" w:space="0" w:color="auto"/>
        <w:left w:val="none" w:sz="0" w:space="0" w:color="auto"/>
        <w:bottom w:val="none" w:sz="0" w:space="0" w:color="auto"/>
        <w:right w:val="none" w:sz="0" w:space="0" w:color="auto"/>
      </w:divBdr>
    </w:div>
    <w:div w:id="389764735">
      <w:bodyDiv w:val="1"/>
      <w:marLeft w:val="0"/>
      <w:marRight w:val="0"/>
      <w:marTop w:val="0"/>
      <w:marBottom w:val="0"/>
      <w:divBdr>
        <w:top w:val="none" w:sz="0" w:space="0" w:color="auto"/>
        <w:left w:val="none" w:sz="0" w:space="0" w:color="auto"/>
        <w:bottom w:val="none" w:sz="0" w:space="0" w:color="auto"/>
        <w:right w:val="none" w:sz="0" w:space="0" w:color="auto"/>
      </w:divBdr>
      <w:divsChild>
        <w:div w:id="1167672222">
          <w:marLeft w:val="0"/>
          <w:marRight w:val="0"/>
          <w:marTop w:val="0"/>
          <w:marBottom w:val="0"/>
          <w:divBdr>
            <w:top w:val="none" w:sz="0" w:space="0" w:color="auto"/>
            <w:left w:val="none" w:sz="0" w:space="0" w:color="auto"/>
            <w:bottom w:val="none" w:sz="0" w:space="0" w:color="auto"/>
            <w:right w:val="none" w:sz="0" w:space="0" w:color="auto"/>
          </w:divBdr>
        </w:div>
      </w:divsChild>
    </w:div>
    <w:div w:id="393969220">
      <w:bodyDiv w:val="1"/>
      <w:marLeft w:val="0"/>
      <w:marRight w:val="0"/>
      <w:marTop w:val="0"/>
      <w:marBottom w:val="0"/>
      <w:divBdr>
        <w:top w:val="none" w:sz="0" w:space="0" w:color="auto"/>
        <w:left w:val="none" w:sz="0" w:space="0" w:color="auto"/>
        <w:bottom w:val="none" w:sz="0" w:space="0" w:color="auto"/>
        <w:right w:val="none" w:sz="0" w:space="0" w:color="auto"/>
      </w:divBdr>
    </w:div>
    <w:div w:id="481502502">
      <w:bodyDiv w:val="1"/>
      <w:marLeft w:val="0"/>
      <w:marRight w:val="0"/>
      <w:marTop w:val="0"/>
      <w:marBottom w:val="0"/>
      <w:divBdr>
        <w:top w:val="none" w:sz="0" w:space="0" w:color="auto"/>
        <w:left w:val="none" w:sz="0" w:space="0" w:color="auto"/>
        <w:bottom w:val="none" w:sz="0" w:space="0" w:color="auto"/>
        <w:right w:val="none" w:sz="0" w:space="0" w:color="auto"/>
      </w:divBdr>
    </w:div>
    <w:div w:id="483200837">
      <w:bodyDiv w:val="1"/>
      <w:marLeft w:val="0"/>
      <w:marRight w:val="0"/>
      <w:marTop w:val="0"/>
      <w:marBottom w:val="0"/>
      <w:divBdr>
        <w:top w:val="none" w:sz="0" w:space="0" w:color="auto"/>
        <w:left w:val="none" w:sz="0" w:space="0" w:color="auto"/>
        <w:bottom w:val="none" w:sz="0" w:space="0" w:color="auto"/>
        <w:right w:val="none" w:sz="0" w:space="0" w:color="auto"/>
      </w:divBdr>
    </w:div>
    <w:div w:id="522285532">
      <w:bodyDiv w:val="1"/>
      <w:marLeft w:val="0"/>
      <w:marRight w:val="0"/>
      <w:marTop w:val="0"/>
      <w:marBottom w:val="0"/>
      <w:divBdr>
        <w:top w:val="none" w:sz="0" w:space="0" w:color="auto"/>
        <w:left w:val="none" w:sz="0" w:space="0" w:color="auto"/>
        <w:bottom w:val="none" w:sz="0" w:space="0" w:color="auto"/>
        <w:right w:val="none" w:sz="0" w:space="0" w:color="auto"/>
      </w:divBdr>
    </w:div>
    <w:div w:id="534847679">
      <w:bodyDiv w:val="1"/>
      <w:marLeft w:val="0"/>
      <w:marRight w:val="0"/>
      <w:marTop w:val="0"/>
      <w:marBottom w:val="0"/>
      <w:divBdr>
        <w:top w:val="none" w:sz="0" w:space="0" w:color="auto"/>
        <w:left w:val="none" w:sz="0" w:space="0" w:color="auto"/>
        <w:bottom w:val="none" w:sz="0" w:space="0" w:color="auto"/>
        <w:right w:val="none" w:sz="0" w:space="0" w:color="auto"/>
      </w:divBdr>
    </w:div>
    <w:div w:id="543757118">
      <w:bodyDiv w:val="1"/>
      <w:marLeft w:val="0"/>
      <w:marRight w:val="0"/>
      <w:marTop w:val="0"/>
      <w:marBottom w:val="0"/>
      <w:divBdr>
        <w:top w:val="none" w:sz="0" w:space="0" w:color="auto"/>
        <w:left w:val="none" w:sz="0" w:space="0" w:color="auto"/>
        <w:bottom w:val="none" w:sz="0" w:space="0" w:color="auto"/>
        <w:right w:val="none" w:sz="0" w:space="0" w:color="auto"/>
      </w:divBdr>
    </w:div>
    <w:div w:id="549414940">
      <w:bodyDiv w:val="1"/>
      <w:marLeft w:val="0"/>
      <w:marRight w:val="0"/>
      <w:marTop w:val="0"/>
      <w:marBottom w:val="0"/>
      <w:divBdr>
        <w:top w:val="none" w:sz="0" w:space="0" w:color="auto"/>
        <w:left w:val="none" w:sz="0" w:space="0" w:color="auto"/>
        <w:bottom w:val="none" w:sz="0" w:space="0" w:color="auto"/>
        <w:right w:val="none" w:sz="0" w:space="0" w:color="auto"/>
      </w:divBdr>
    </w:div>
    <w:div w:id="574554620">
      <w:bodyDiv w:val="1"/>
      <w:marLeft w:val="0"/>
      <w:marRight w:val="0"/>
      <w:marTop w:val="0"/>
      <w:marBottom w:val="0"/>
      <w:divBdr>
        <w:top w:val="none" w:sz="0" w:space="0" w:color="auto"/>
        <w:left w:val="none" w:sz="0" w:space="0" w:color="auto"/>
        <w:bottom w:val="none" w:sz="0" w:space="0" w:color="auto"/>
        <w:right w:val="none" w:sz="0" w:space="0" w:color="auto"/>
      </w:divBdr>
    </w:div>
    <w:div w:id="585311009">
      <w:bodyDiv w:val="1"/>
      <w:marLeft w:val="0"/>
      <w:marRight w:val="0"/>
      <w:marTop w:val="0"/>
      <w:marBottom w:val="0"/>
      <w:divBdr>
        <w:top w:val="none" w:sz="0" w:space="0" w:color="auto"/>
        <w:left w:val="none" w:sz="0" w:space="0" w:color="auto"/>
        <w:bottom w:val="none" w:sz="0" w:space="0" w:color="auto"/>
        <w:right w:val="none" w:sz="0" w:space="0" w:color="auto"/>
      </w:divBdr>
    </w:div>
    <w:div w:id="619535707">
      <w:bodyDiv w:val="1"/>
      <w:marLeft w:val="0"/>
      <w:marRight w:val="0"/>
      <w:marTop w:val="0"/>
      <w:marBottom w:val="0"/>
      <w:divBdr>
        <w:top w:val="none" w:sz="0" w:space="0" w:color="auto"/>
        <w:left w:val="none" w:sz="0" w:space="0" w:color="auto"/>
        <w:bottom w:val="none" w:sz="0" w:space="0" w:color="auto"/>
        <w:right w:val="none" w:sz="0" w:space="0" w:color="auto"/>
      </w:divBdr>
    </w:div>
    <w:div w:id="651065275">
      <w:bodyDiv w:val="1"/>
      <w:marLeft w:val="0"/>
      <w:marRight w:val="0"/>
      <w:marTop w:val="0"/>
      <w:marBottom w:val="0"/>
      <w:divBdr>
        <w:top w:val="none" w:sz="0" w:space="0" w:color="auto"/>
        <w:left w:val="none" w:sz="0" w:space="0" w:color="auto"/>
        <w:bottom w:val="none" w:sz="0" w:space="0" w:color="auto"/>
        <w:right w:val="none" w:sz="0" w:space="0" w:color="auto"/>
      </w:divBdr>
    </w:div>
    <w:div w:id="664017834">
      <w:bodyDiv w:val="1"/>
      <w:marLeft w:val="0"/>
      <w:marRight w:val="0"/>
      <w:marTop w:val="0"/>
      <w:marBottom w:val="0"/>
      <w:divBdr>
        <w:top w:val="none" w:sz="0" w:space="0" w:color="auto"/>
        <w:left w:val="none" w:sz="0" w:space="0" w:color="auto"/>
        <w:bottom w:val="none" w:sz="0" w:space="0" w:color="auto"/>
        <w:right w:val="none" w:sz="0" w:space="0" w:color="auto"/>
      </w:divBdr>
    </w:div>
    <w:div w:id="680205448">
      <w:bodyDiv w:val="1"/>
      <w:marLeft w:val="0"/>
      <w:marRight w:val="0"/>
      <w:marTop w:val="0"/>
      <w:marBottom w:val="0"/>
      <w:divBdr>
        <w:top w:val="none" w:sz="0" w:space="0" w:color="auto"/>
        <w:left w:val="none" w:sz="0" w:space="0" w:color="auto"/>
        <w:bottom w:val="none" w:sz="0" w:space="0" w:color="auto"/>
        <w:right w:val="none" w:sz="0" w:space="0" w:color="auto"/>
      </w:divBdr>
    </w:div>
    <w:div w:id="738867926">
      <w:bodyDiv w:val="1"/>
      <w:marLeft w:val="0"/>
      <w:marRight w:val="0"/>
      <w:marTop w:val="0"/>
      <w:marBottom w:val="0"/>
      <w:divBdr>
        <w:top w:val="none" w:sz="0" w:space="0" w:color="auto"/>
        <w:left w:val="none" w:sz="0" w:space="0" w:color="auto"/>
        <w:bottom w:val="none" w:sz="0" w:space="0" w:color="auto"/>
        <w:right w:val="none" w:sz="0" w:space="0" w:color="auto"/>
      </w:divBdr>
    </w:div>
    <w:div w:id="769470470">
      <w:bodyDiv w:val="1"/>
      <w:marLeft w:val="0"/>
      <w:marRight w:val="0"/>
      <w:marTop w:val="0"/>
      <w:marBottom w:val="0"/>
      <w:divBdr>
        <w:top w:val="none" w:sz="0" w:space="0" w:color="auto"/>
        <w:left w:val="none" w:sz="0" w:space="0" w:color="auto"/>
        <w:bottom w:val="none" w:sz="0" w:space="0" w:color="auto"/>
        <w:right w:val="none" w:sz="0" w:space="0" w:color="auto"/>
      </w:divBdr>
      <w:divsChild>
        <w:div w:id="977027064">
          <w:marLeft w:val="0"/>
          <w:marRight w:val="0"/>
          <w:marTop w:val="0"/>
          <w:marBottom w:val="0"/>
          <w:divBdr>
            <w:top w:val="none" w:sz="0" w:space="0" w:color="auto"/>
            <w:left w:val="none" w:sz="0" w:space="0" w:color="auto"/>
            <w:bottom w:val="none" w:sz="0" w:space="0" w:color="auto"/>
            <w:right w:val="none" w:sz="0" w:space="0" w:color="auto"/>
          </w:divBdr>
        </w:div>
      </w:divsChild>
    </w:div>
    <w:div w:id="794063308">
      <w:bodyDiv w:val="1"/>
      <w:marLeft w:val="0"/>
      <w:marRight w:val="0"/>
      <w:marTop w:val="0"/>
      <w:marBottom w:val="0"/>
      <w:divBdr>
        <w:top w:val="none" w:sz="0" w:space="0" w:color="auto"/>
        <w:left w:val="none" w:sz="0" w:space="0" w:color="auto"/>
        <w:bottom w:val="none" w:sz="0" w:space="0" w:color="auto"/>
        <w:right w:val="none" w:sz="0" w:space="0" w:color="auto"/>
      </w:divBdr>
    </w:div>
    <w:div w:id="796332782">
      <w:bodyDiv w:val="1"/>
      <w:marLeft w:val="0"/>
      <w:marRight w:val="0"/>
      <w:marTop w:val="0"/>
      <w:marBottom w:val="0"/>
      <w:divBdr>
        <w:top w:val="none" w:sz="0" w:space="0" w:color="auto"/>
        <w:left w:val="none" w:sz="0" w:space="0" w:color="auto"/>
        <w:bottom w:val="none" w:sz="0" w:space="0" w:color="auto"/>
        <w:right w:val="none" w:sz="0" w:space="0" w:color="auto"/>
      </w:divBdr>
    </w:div>
    <w:div w:id="851601501">
      <w:bodyDiv w:val="1"/>
      <w:marLeft w:val="0"/>
      <w:marRight w:val="0"/>
      <w:marTop w:val="0"/>
      <w:marBottom w:val="0"/>
      <w:divBdr>
        <w:top w:val="none" w:sz="0" w:space="0" w:color="auto"/>
        <w:left w:val="none" w:sz="0" w:space="0" w:color="auto"/>
        <w:bottom w:val="none" w:sz="0" w:space="0" w:color="auto"/>
        <w:right w:val="none" w:sz="0" w:space="0" w:color="auto"/>
      </w:divBdr>
    </w:div>
    <w:div w:id="917326481">
      <w:bodyDiv w:val="1"/>
      <w:marLeft w:val="0"/>
      <w:marRight w:val="0"/>
      <w:marTop w:val="0"/>
      <w:marBottom w:val="0"/>
      <w:divBdr>
        <w:top w:val="none" w:sz="0" w:space="0" w:color="auto"/>
        <w:left w:val="none" w:sz="0" w:space="0" w:color="auto"/>
        <w:bottom w:val="none" w:sz="0" w:space="0" w:color="auto"/>
        <w:right w:val="none" w:sz="0" w:space="0" w:color="auto"/>
      </w:divBdr>
    </w:div>
    <w:div w:id="958529915">
      <w:bodyDiv w:val="1"/>
      <w:marLeft w:val="0"/>
      <w:marRight w:val="0"/>
      <w:marTop w:val="0"/>
      <w:marBottom w:val="0"/>
      <w:divBdr>
        <w:top w:val="none" w:sz="0" w:space="0" w:color="auto"/>
        <w:left w:val="none" w:sz="0" w:space="0" w:color="auto"/>
        <w:bottom w:val="none" w:sz="0" w:space="0" w:color="auto"/>
        <w:right w:val="none" w:sz="0" w:space="0" w:color="auto"/>
      </w:divBdr>
    </w:div>
    <w:div w:id="1007174555">
      <w:bodyDiv w:val="1"/>
      <w:marLeft w:val="0"/>
      <w:marRight w:val="0"/>
      <w:marTop w:val="0"/>
      <w:marBottom w:val="0"/>
      <w:divBdr>
        <w:top w:val="none" w:sz="0" w:space="0" w:color="auto"/>
        <w:left w:val="none" w:sz="0" w:space="0" w:color="auto"/>
        <w:bottom w:val="none" w:sz="0" w:space="0" w:color="auto"/>
        <w:right w:val="none" w:sz="0" w:space="0" w:color="auto"/>
      </w:divBdr>
    </w:div>
    <w:div w:id="1033724788">
      <w:bodyDiv w:val="1"/>
      <w:marLeft w:val="0"/>
      <w:marRight w:val="0"/>
      <w:marTop w:val="0"/>
      <w:marBottom w:val="0"/>
      <w:divBdr>
        <w:top w:val="none" w:sz="0" w:space="0" w:color="auto"/>
        <w:left w:val="none" w:sz="0" w:space="0" w:color="auto"/>
        <w:bottom w:val="none" w:sz="0" w:space="0" w:color="auto"/>
        <w:right w:val="none" w:sz="0" w:space="0" w:color="auto"/>
      </w:divBdr>
    </w:div>
    <w:div w:id="1040856236">
      <w:bodyDiv w:val="1"/>
      <w:marLeft w:val="0"/>
      <w:marRight w:val="0"/>
      <w:marTop w:val="0"/>
      <w:marBottom w:val="0"/>
      <w:divBdr>
        <w:top w:val="none" w:sz="0" w:space="0" w:color="auto"/>
        <w:left w:val="none" w:sz="0" w:space="0" w:color="auto"/>
        <w:bottom w:val="none" w:sz="0" w:space="0" w:color="auto"/>
        <w:right w:val="none" w:sz="0" w:space="0" w:color="auto"/>
      </w:divBdr>
      <w:divsChild>
        <w:div w:id="543447748">
          <w:marLeft w:val="144"/>
          <w:marRight w:val="0"/>
          <w:marTop w:val="240"/>
          <w:marBottom w:val="160"/>
          <w:divBdr>
            <w:top w:val="none" w:sz="0" w:space="0" w:color="auto"/>
            <w:left w:val="none" w:sz="0" w:space="0" w:color="auto"/>
            <w:bottom w:val="none" w:sz="0" w:space="0" w:color="auto"/>
            <w:right w:val="none" w:sz="0" w:space="0" w:color="auto"/>
          </w:divBdr>
        </w:div>
        <w:div w:id="805700005">
          <w:marLeft w:val="144"/>
          <w:marRight w:val="0"/>
          <w:marTop w:val="240"/>
          <w:marBottom w:val="160"/>
          <w:divBdr>
            <w:top w:val="none" w:sz="0" w:space="0" w:color="auto"/>
            <w:left w:val="none" w:sz="0" w:space="0" w:color="auto"/>
            <w:bottom w:val="none" w:sz="0" w:space="0" w:color="auto"/>
            <w:right w:val="none" w:sz="0" w:space="0" w:color="auto"/>
          </w:divBdr>
        </w:div>
        <w:div w:id="1610507901">
          <w:marLeft w:val="144"/>
          <w:marRight w:val="0"/>
          <w:marTop w:val="240"/>
          <w:marBottom w:val="160"/>
          <w:divBdr>
            <w:top w:val="none" w:sz="0" w:space="0" w:color="auto"/>
            <w:left w:val="none" w:sz="0" w:space="0" w:color="auto"/>
            <w:bottom w:val="none" w:sz="0" w:space="0" w:color="auto"/>
            <w:right w:val="none" w:sz="0" w:space="0" w:color="auto"/>
          </w:divBdr>
        </w:div>
        <w:div w:id="1933976693">
          <w:marLeft w:val="144"/>
          <w:marRight w:val="0"/>
          <w:marTop w:val="240"/>
          <w:marBottom w:val="160"/>
          <w:divBdr>
            <w:top w:val="none" w:sz="0" w:space="0" w:color="auto"/>
            <w:left w:val="none" w:sz="0" w:space="0" w:color="auto"/>
            <w:bottom w:val="none" w:sz="0" w:space="0" w:color="auto"/>
            <w:right w:val="none" w:sz="0" w:space="0" w:color="auto"/>
          </w:divBdr>
        </w:div>
      </w:divsChild>
    </w:div>
    <w:div w:id="1111323083">
      <w:bodyDiv w:val="1"/>
      <w:marLeft w:val="0"/>
      <w:marRight w:val="0"/>
      <w:marTop w:val="0"/>
      <w:marBottom w:val="0"/>
      <w:divBdr>
        <w:top w:val="none" w:sz="0" w:space="0" w:color="auto"/>
        <w:left w:val="none" w:sz="0" w:space="0" w:color="auto"/>
        <w:bottom w:val="none" w:sz="0" w:space="0" w:color="auto"/>
        <w:right w:val="none" w:sz="0" w:space="0" w:color="auto"/>
      </w:divBdr>
    </w:div>
    <w:div w:id="1164470068">
      <w:bodyDiv w:val="1"/>
      <w:marLeft w:val="0"/>
      <w:marRight w:val="0"/>
      <w:marTop w:val="0"/>
      <w:marBottom w:val="0"/>
      <w:divBdr>
        <w:top w:val="none" w:sz="0" w:space="0" w:color="auto"/>
        <w:left w:val="none" w:sz="0" w:space="0" w:color="auto"/>
        <w:bottom w:val="none" w:sz="0" w:space="0" w:color="auto"/>
        <w:right w:val="none" w:sz="0" w:space="0" w:color="auto"/>
      </w:divBdr>
    </w:div>
    <w:div w:id="1199930467">
      <w:bodyDiv w:val="1"/>
      <w:marLeft w:val="0"/>
      <w:marRight w:val="0"/>
      <w:marTop w:val="0"/>
      <w:marBottom w:val="0"/>
      <w:divBdr>
        <w:top w:val="none" w:sz="0" w:space="0" w:color="auto"/>
        <w:left w:val="none" w:sz="0" w:space="0" w:color="auto"/>
        <w:bottom w:val="none" w:sz="0" w:space="0" w:color="auto"/>
        <w:right w:val="none" w:sz="0" w:space="0" w:color="auto"/>
      </w:divBdr>
    </w:div>
    <w:div w:id="1226994184">
      <w:bodyDiv w:val="1"/>
      <w:marLeft w:val="0"/>
      <w:marRight w:val="0"/>
      <w:marTop w:val="0"/>
      <w:marBottom w:val="0"/>
      <w:divBdr>
        <w:top w:val="none" w:sz="0" w:space="0" w:color="auto"/>
        <w:left w:val="none" w:sz="0" w:space="0" w:color="auto"/>
        <w:bottom w:val="none" w:sz="0" w:space="0" w:color="auto"/>
        <w:right w:val="none" w:sz="0" w:space="0" w:color="auto"/>
      </w:divBdr>
    </w:div>
    <w:div w:id="1229615679">
      <w:bodyDiv w:val="1"/>
      <w:marLeft w:val="0"/>
      <w:marRight w:val="0"/>
      <w:marTop w:val="0"/>
      <w:marBottom w:val="0"/>
      <w:divBdr>
        <w:top w:val="none" w:sz="0" w:space="0" w:color="auto"/>
        <w:left w:val="none" w:sz="0" w:space="0" w:color="auto"/>
        <w:bottom w:val="none" w:sz="0" w:space="0" w:color="auto"/>
        <w:right w:val="none" w:sz="0" w:space="0" w:color="auto"/>
      </w:divBdr>
    </w:div>
    <w:div w:id="1238441146">
      <w:bodyDiv w:val="1"/>
      <w:marLeft w:val="0"/>
      <w:marRight w:val="0"/>
      <w:marTop w:val="0"/>
      <w:marBottom w:val="0"/>
      <w:divBdr>
        <w:top w:val="none" w:sz="0" w:space="0" w:color="auto"/>
        <w:left w:val="none" w:sz="0" w:space="0" w:color="auto"/>
        <w:bottom w:val="none" w:sz="0" w:space="0" w:color="auto"/>
        <w:right w:val="none" w:sz="0" w:space="0" w:color="auto"/>
      </w:divBdr>
    </w:div>
    <w:div w:id="1259754825">
      <w:bodyDiv w:val="1"/>
      <w:marLeft w:val="0"/>
      <w:marRight w:val="0"/>
      <w:marTop w:val="0"/>
      <w:marBottom w:val="0"/>
      <w:divBdr>
        <w:top w:val="none" w:sz="0" w:space="0" w:color="auto"/>
        <w:left w:val="none" w:sz="0" w:space="0" w:color="auto"/>
        <w:bottom w:val="none" w:sz="0" w:space="0" w:color="auto"/>
        <w:right w:val="none" w:sz="0" w:space="0" w:color="auto"/>
      </w:divBdr>
      <w:divsChild>
        <w:div w:id="728958198">
          <w:marLeft w:val="0"/>
          <w:marRight w:val="0"/>
          <w:marTop w:val="0"/>
          <w:marBottom w:val="0"/>
          <w:divBdr>
            <w:top w:val="none" w:sz="0" w:space="0" w:color="auto"/>
            <w:left w:val="none" w:sz="0" w:space="0" w:color="auto"/>
            <w:bottom w:val="none" w:sz="0" w:space="0" w:color="auto"/>
            <w:right w:val="none" w:sz="0" w:space="0" w:color="auto"/>
          </w:divBdr>
        </w:div>
      </w:divsChild>
    </w:div>
    <w:div w:id="1260869447">
      <w:bodyDiv w:val="1"/>
      <w:marLeft w:val="0"/>
      <w:marRight w:val="0"/>
      <w:marTop w:val="0"/>
      <w:marBottom w:val="0"/>
      <w:divBdr>
        <w:top w:val="none" w:sz="0" w:space="0" w:color="auto"/>
        <w:left w:val="none" w:sz="0" w:space="0" w:color="auto"/>
        <w:bottom w:val="none" w:sz="0" w:space="0" w:color="auto"/>
        <w:right w:val="none" w:sz="0" w:space="0" w:color="auto"/>
      </w:divBdr>
    </w:div>
    <w:div w:id="1298147218">
      <w:bodyDiv w:val="1"/>
      <w:marLeft w:val="0"/>
      <w:marRight w:val="0"/>
      <w:marTop w:val="0"/>
      <w:marBottom w:val="0"/>
      <w:divBdr>
        <w:top w:val="none" w:sz="0" w:space="0" w:color="auto"/>
        <w:left w:val="none" w:sz="0" w:space="0" w:color="auto"/>
        <w:bottom w:val="none" w:sz="0" w:space="0" w:color="auto"/>
        <w:right w:val="none" w:sz="0" w:space="0" w:color="auto"/>
      </w:divBdr>
    </w:div>
    <w:div w:id="1328365486">
      <w:bodyDiv w:val="1"/>
      <w:marLeft w:val="0"/>
      <w:marRight w:val="0"/>
      <w:marTop w:val="0"/>
      <w:marBottom w:val="0"/>
      <w:divBdr>
        <w:top w:val="none" w:sz="0" w:space="0" w:color="auto"/>
        <w:left w:val="none" w:sz="0" w:space="0" w:color="auto"/>
        <w:bottom w:val="none" w:sz="0" w:space="0" w:color="auto"/>
        <w:right w:val="none" w:sz="0" w:space="0" w:color="auto"/>
      </w:divBdr>
    </w:div>
    <w:div w:id="1433742197">
      <w:bodyDiv w:val="1"/>
      <w:marLeft w:val="0"/>
      <w:marRight w:val="0"/>
      <w:marTop w:val="0"/>
      <w:marBottom w:val="0"/>
      <w:divBdr>
        <w:top w:val="none" w:sz="0" w:space="0" w:color="auto"/>
        <w:left w:val="none" w:sz="0" w:space="0" w:color="auto"/>
        <w:bottom w:val="none" w:sz="0" w:space="0" w:color="auto"/>
        <w:right w:val="none" w:sz="0" w:space="0" w:color="auto"/>
      </w:divBdr>
    </w:div>
    <w:div w:id="1440024840">
      <w:bodyDiv w:val="1"/>
      <w:marLeft w:val="0"/>
      <w:marRight w:val="0"/>
      <w:marTop w:val="0"/>
      <w:marBottom w:val="0"/>
      <w:divBdr>
        <w:top w:val="none" w:sz="0" w:space="0" w:color="auto"/>
        <w:left w:val="none" w:sz="0" w:space="0" w:color="auto"/>
        <w:bottom w:val="none" w:sz="0" w:space="0" w:color="auto"/>
        <w:right w:val="none" w:sz="0" w:space="0" w:color="auto"/>
      </w:divBdr>
    </w:div>
    <w:div w:id="1446540786">
      <w:bodyDiv w:val="1"/>
      <w:marLeft w:val="0"/>
      <w:marRight w:val="0"/>
      <w:marTop w:val="0"/>
      <w:marBottom w:val="0"/>
      <w:divBdr>
        <w:top w:val="none" w:sz="0" w:space="0" w:color="auto"/>
        <w:left w:val="none" w:sz="0" w:space="0" w:color="auto"/>
        <w:bottom w:val="none" w:sz="0" w:space="0" w:color="auto"/>
        <w:right w:val="none" w:sz="0" w:space="0" w:color="auto"/>
      </w:divBdr>
    </w:div>
    <w:div w:id="1474643099">
      <w:bodyDiv w:val="1"/>
      <w:marLeft w:val="0"/>
      <w:marRight w:val="0"/>
      <w:marTop w:val="0"/>
      <w:marBottom w:val="0"/>
      <w:divBdr>
        <w:top w:val="none" w:sz="0" w:space="0" w:color="auto"/>
        <w:left w:val="none" w:sz="0" w:space="0" w:color="auto"/>
        <w:bottom w:val="none" w:sz="0" w:space="0" w:color="auto"/>
        <w:right w:val="none" w:sz="0" w:space="0" w:color="auto"/>
      </w:divBdr>
    </w:div>
    <w:div w:id="1479767381">
      <w:bodyDiv w:val="1"/>
      <w:marLeft w:val="0"/>
      <w:marRight w:val="0"/>
      <w:marTop w:val="0"/>
      <w:marBottom w:val="0"/>
      <w:divBdr>
        <w:top w:val="none" w:sz="0" w:space="0" w:color="auto"/>
        <w:left w:val="none" w:sz="0" w:space="0" w:color="auto"/>
        <w:bottom w:val="none" w:sz="0" w:space="0" w:color="auto"/>
        <w:right w:val="none" w:sz="0" w:space="0" w:color="auto"/>
      </w:divBdr>
    </w:div>
    <w:div w:id="1496647079">
      <w:bodyDiv w:val="1"/>
      <w:marLeft w:val="0"/>
      <w:marRight w:val="0"/>
      <w:marTop w:val="0"/>
      <w:marBottom w:val="0"/>
      <w:divBdr>
        <w:top w:val="none" w:sz="0" w:space="0" w:color="auto"/>
        <w:left w:val="none" w:sz="0" w:space="0" w:color="auto"/>
        <w:bottom w:val="none" w:sz="0" w:space="0" w:color="auto"/>
        <w:right w:val="none" w:sz="0" w:space="0" w:color="auto"/>
      </w:divBdr>
      <w:divsChild>
        <w:div w:id="251665482">
          <w:marLeft w:val="144"/>
          <w:marRight w:val="0"/>
          <w:marTop w:val="240"/>
          <w:marBottom w:val="40"/>
          <w:divBdr>
            <w:top w:val="none" w:sz="0" w:space="0" w:color="auto"/>
            <w:left w:val="none" w:sz="0" w:space="0" w:color="auto"/>
            <w:bottom w:val="none" w:sz="0" w:space="0" w:color="auto"/>
            <w:right w:val="none" w:sz="0" w:space="0" w:color="auto"/>
          </w:divBdr>
        </w:div>
        <w:div w:id="1048604290">
          <w:marLeft w:val="144"/>
          <w:marRight w:val="0"/>
          <w:marTop w:val="240"/>
          <w:marBottom w:val="40"/>
          <w:divBdr>
            <w:top w:val="none" w:sz="0" w:space="0" w:color="auto"/>
            <w:left w:val="none" w:sz="0" w:space="0" w:color="auto"/>
            <w:bottom w:val="none" w:sz="0" w:space="0" w:color="auto"/>
            <w:right w:val="none" w:sz="0" w:space="0" w:color="auto"/>
          </w:divBdr>
        </w:div>
        <w:div w:id="1120076065">
          <w:marLeft w:val="144"/>
          <w:marRight w:val="0"/>
          <w:marTop w:val="240"/>
          <w:marBottom w:val="40"/>
          <w:divBdr>
            <w:top w:val="none" w:sz="0" w:space="0" w:color="auto"/>
            <w:left w:val="none" w:sz="0" w:space="0" w:color="auto"/>
            <w:bottom w:val="none" w:sz="0" w:space="0" w:color="auto"/>
            <w:right w:val="none" w:sz="0" w:space="0" w:color="auto"/>
          </w:divBdr>
        </w:div>
        <w:div w:id="1223754285">
          <w:marLeft w:val="144"/>
          <w:marRight w:val="0"/>
          <w:marTop w:val="240"/>
          <w:marBottom w:val="40"/>
          <w:divBdr>
            <w:top w:val="none" w:sz="0" w:space="0" w:color="auto"/>
            <w:left w:val="none" w:sz="0" w:space="0" w:color="auto"/>
            <w:bottom w:val="none" w:sz="0" w:space="0" w:color="auto"/>
            <w:right w:val="none" w:sz="0" w:space="0" w:color="auto"/>
          </w:divBdr>
        </w:div>
        <w:div w:id="1942519723">
          <w:marLeft w:val="144"/>
          <w:marRight w:val="0"/>
          <w:marTop w:val="240"/>
          <w:marBottom w:val="40"/>
          <w:divBdr>
            <w:top w:val="none" w:sz="0" w:space="0" w:color="auto"/>
            <w:left w:val="none" w:sz="0" w:space="0" w:color="auto"/>
            <w:bottom w:val="none" w:sz="0" w:space="0" w:color="auto"/>
            <w:right w:val="none" w:sz="0" w:space="0" w:color="auto"/>
          </w:divBdr>
        </w:div>
      </w:divsChild>
    </w:div>
    <w:div w:id="1591309731">
      <w:bodyDiv w:val="1"/>
      <w:marLeft w:val="0"/>
      <w:marRight w:val="0"/>
      <w:marTop w:val="0"/>
      <w:marBottom w:val="0"/>
      <w:divBdr>
        <w:top w:val="none" w:sz="0" w:space="0" w:color="auto"/>
        <w:left w:val="none" w:sz="0" w:space="0" w:color="auto"/>
        <w:bottom w:val="none" w:sz="0" w:space="0" w:color="auto"/>
        <w:right w:val="none" w:sz="0" w:space="0" w:color="auto"/>
      </w:divBdr>
    </w:div>
    <w:div w:id="1666472633">
      <w:bodyDiv w:val="1"/>
      <w:marLeft w:val="0"/>
      <w:marRight w:val="0"/>
      <w:marTop w:val="0"/>
      <w:marBottom w:val="0"/>
      <w:divBdr>
        <w:top w:val="none" w:sz="0" w:space="0" w:color="auto"/>
        <w:left w:val="none" w:sz="0" w:space="0" w:color="auto"/>
        <w:bottom w:val="none" w:sz="0" w:space="0" w:color="auto"/>
        <w:right w:val="none" w:sz="0" w:space="0" w:color="auto"/>
      </w:divBdr>
    </w:div>
    <w:div w:id="1740903455">
      <w:bodyDiv w:val="1"/>
      <w:marLeft w:val="0"/>
      <w:marRight w:val="0"/>
      <w:marTop w:val="0"/>
      <w:marBottom w:val="0"/>
      <w:divBdr>
        <w:top w:val="none" w:sz="0" w:space="0" w:color="auto"/>
        <w:left w:val="none" w:sz="0" w:space="0" w:color="auto"/>
        <w:bottom w:val="none" w:sz="0" w:space="0" w:color="auto"/>
        <w:right w:val="none" w:sz="0" w:space="0" w:color="auto"/>
      </w:divBdr>
    </w:div>
    <w:div w:id="1744983847">
      <w:bodyDiv w:val="1"/>
      <w:marLeft w:val="0"/>
      <w:marRight w:val="0"/>
      <w:marTop w:val="0"/>
      <w:marBottom w:val="0"/>
      <w:divBdr>
        <w:top w:val="none" w:sz="0" w:space="0" w:color="auto"/>
        <w:left w:val="none" w:sz="0" w:space="0" w:color="auto"/>
        <w:bottom w:val="none" w:sz="0" w:space="0" w:color="auto"/>
        <w:right w:val="none" w:sz="0" w:space="0" w:color="auto"/>
      </w:divBdr>
      <w:divsChild>
        <w:div w:id="1255557725">
          <w:marLeft w:val="0"/>
          <w:marRight w:val="0"/>
          <w:marTop w:val="0"/>
          <w:marBottom w:val="0"/>
          <w:divBdr>
            <w:top w:val="none" w:sz="0" w:space="0" w:color="auto"/>
            <w:left w:val="none" w:sz="0" w:space="0" w:color="auto"/>
            <w:bottom w:val="none" w:sz="0" w:space="0" w:color="auto"/>
            <w:right w:val="none" w:sz="0" w:space="0" w:color="auto"/>
          </w:divBdr>
        </w:div>
      </w:divsChild>
    </w:div>
    <w:div w:id="1760983577">
      <w:bodyDiv w:val="1"/>
      <w:marLeft w:val="0"/>
      <w:marRight w:val="0"/>
      <w:marTop w:val="0"/>
      <w:marBottom w:val="0"/>
      <w:divBdr>
        <w:top w:val="none" w:sz="0" w:space="0" w:color="auto"/>
        <w:left w:val="none" w:sz="0" w:space="0" w:color="auto"/>
        <w:bottom w:val="none" w:sz="0" w:space="0" w:color="auto"/>
        <w:right w:val="none" w:sz="0" w:space="0" w:color="auto"/>
      </w:divBdr>
    </w:div>
    <w:div w:id="1826432692">
      <w:bodyDiv w:val="1"/>
      <w:marLeft w:val="0"/>
      <w:marRight w:val="0"/>
      <w:marTop w:val="0"/>
      <w:marBottom w:val="0"/>
      <w:divBdr>
        <w:top w:val="none" w:sz="0" w:space="0" w:color="auto"/>
        <w:left w:val="none" w:sz="0" w:space="0" w:color="auto"/>
        <w:bottom w:val="none" w:sz="0" w:space="0" w:color="auto"/>
        <w:right w:val="none" w:sz="0" w:space="0" w:color="auto"/>
      </w:divBdr>
    </w:div>
    <w:div w:id="1850410506">
      <w:bodyDiv w:val="1"/>
      <w:marLeft w:val="0"/>
      <w:marRight w:val="0"/>
      <w:marTop w:val="0"/>
      <w:marBottom w:val="0"/>
      <w:divBdr>
        <w:top w:val="none" w:sz="0" w:space="0" w:color="auto"/>
        <w:left w:val="none" w:sz="0" w:space="0" w:color="auto"/>
        <w:bottom w:val="none" w:sz="0" w:space="0" w:color="auto"/>
        <w:right w:val="none" w:sz="0" w:space="0" w:color="auto"/>
      </w:divBdr>
    </w:div>
    <w:div w:id="1852143993">
      <w:bodyDiv w:val="1"/>
      <w:marLeft w:val="0"/>
      <w:marRight w:val="0"/>
      <w:marTop w:val="0"/>
      <w:marBottom w:val="0"/>
      <w:divBdr>
        <w:top w:val="none" w:sz="0" w:space="0" w:color="auto"/>
        <w:left w:val="none" w:sz="0" w:space="0" w:color="auto"/>
        <w:bottom w:val="none" w:sz="0" w:space="0" w:color="auto"/>
        <w:right w:val="none" w:sz="0" w:space="0" w:color="auto"/>
      </w:divBdr>
    </w:div>
    <w:div w:id="1896578849">
      <w:bodyDiv w:val="1"/>
      <w:marLeft w:val="0"/>
      <w:marRight w:val="0"/>
      <w:marTop w:val="0"/>
      <w:marBottom w:val="0"/>
      <w:divBdr>
        <w:top w:val="none" w:sz="0" w:space="0" w:color="auto"/>
        <w:left w:val="none" w:sz="0" w:space="0" w:color="auto"/>
        <w:bottom w:val="none" w:sz="0" w:space="0" w:color="auto"/>
        <w:right w:val="none" w:sz="0" w:space="0" w:color="auto"/>
      </w:divBdr>
      <w:divsChild>
        <w:div w:id="53283924">
          <w:marLeft w:val="0"/>
          <w:marRight w:val="0"/>
          <w:marTop w:val="0"/>
          <w:marBottom w:val="0"/>
          <w:divBdr>
            <w:top w:val="none" w:sz="0" w:space="0" w:color="auto"/>
            <w:left w:val="none" w:sz="0" w:space="0" w:color="auto"/>
            <w:bottom w:val="none" w:sz="0" w:space="0" w:color="auto"/>
            <w:right w:val="none" w:sz="0" w:space="0" w:color="auto"/>
          </w:divBdr>
        </w:div>
      </w:divsChild>
    </w:div>
    <w:div w:id="1903053875">
      <w:bodyDiv w:val="1"/>
      <w:marLeft w:val="0"/>
      <w:marRight w:val="0"/>
      <w:marTop w:val="0"/>
      <w:marBottom w:val="0"/>
      <w:divBdr>
        <w:top w:val="none" w:sz="0" w:space="0" w:color="auto"/>
        <w:left w:val="none" w:sz="0" w:space="0" w:color="auto"/>
        <w:bottom w:val="none" w:sz="0" w:space="0" w:color="auto"/>
        <w:right w:val="none" w:sz="0" w:space="0" w:color="auto"/>
      </w:divBdr>
    </w:div>
    <w:div w:id="1925187236">
      <w:bodyDiv w:val="1"/>
      <w:marLeft w:val="0"/>
      <w:marRight w:val="0"/>
      <w:marTop w:val="0"/>
      <w:marBottom w:val="0"/>
      <w:divBdr>
        <w:top w:val="none" w:sz="0" w:space="0" w:color="auto"/>
        <w:left w:val="none" w:sz="0" w:space="0" w:color="auto"/>
        <w:bottom w:val="none" w:sz="0" w:space="0" w:color="auto"/>
        <w:right w:val="none" w:sz="0" w:space="0" w:color="auto"/>
      </w:divBdr>
    </w:div>
    <w:div w:id="1998878376">
      <w:bodyDiv w:val="1"/>
      <w:marLeft w:val="0"/>
      <w:marRight w:val="0"/>
      <w:marTop w:val="0"/>
      <w:marBottom w:val="0"/>
      <w:divBdr>
        <w:top w:val="none" w:sz="0" w:space="0" w:color="auto"/>
        <w:left w:val="none" w:sz="0" w:space="0" w:color="auto"/>
        <w:bottom w:val="none" w:sz="0" w:space="0" w:color="auto"/>
        <w:right w:val="none" w:sz="0" w:space="0" w:color="auto"/>
      </w:divBdr>
      <w:divsChild>
        <w:div w:id="1540434276">
          <w:marLeft w:val="0"/>
          <w:marRight w:val="0"/>
          <w:marTop w:val="0"/>
          <w:marBottom w:val="0"/>
          <w:divBdr>
            <w:top w:val="none" w:sz="0" w:space="0" w:color="auto"/>
            <w:left w:val="none" w:sz="0" w:space="0" w:color="auto"/>
            <w:bottom w:val="none" w:sz="0" w:space="0" w:color="auto"/>
            <w:right w:val="none" w:sz="0" w:space="0" w:color="auto"/>
          </w:divBdr>
        </w:div>
      </w:divsChild>
    </w:div>
    <w:div w:id="2027362846">
      <w:bodyDiv w:val="1"/>
      <w:marLeft w:val="0"/>
      <w:marRight w:val="0"/>
      <w:marTop w:val="0"/>
      <w:marBottom w:val="0"/>
      <w:divBdr>
        <w:top w:val="none" w:sz="0" w:space="0" w:color="auto"/>
        <w:left w:val="none" w:sz="0" w:space="0" w:color="auto"/>
        <w:bottom w:val="none" w:sz="0" w:space="0" w:color="auto"/>
        <w:right w:val="none" w:sz="0" w:space="0" w:color="auto"/>
      </w:divBdr>
    </w:div>
    <w:div w:id="2071230059">
      <w:bodyDiv w:val="1"/>
      <w:marLeft w:val="0"/>
      <w:marRight w:val="0"/>
      <w:marTop w:val="0"/>
      <w:marBottom w:val="0"/>
      <w:divBdr>
        <w:top w:val="none" w:sz="0" w:space="0" w:color="auto"/>
        <w:left w:val="none" w:sz="0" w:space="0" w:color="auto"/>
        <w:bottom w:val="none" w:sz="0" w:space="0" w:color="auto"/>
        <w:right w:val="none" w:sz="0" w:space="0" w:color="auto"/>
      </w:divBdr>
    </w:div>
    <w:div w:id="2100053214">
      <w:bodyDiv w:val="1"/>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sChild>
    </w:div>
    <w:div w:id="2112192420">
      <w:bodyDiv w:val="1"/>
      <w:marLeft w:val="0"/>
      <w:marRight w:val="0"/>
      <w:marTop w:val="0"/>
      <w:marBottom w:val="0"/>
      <w:divBdr>
        <w:top w:val="none" w:sz="0" w:space="0" w:color="auto"/>
        <w:left w:val="none" w:sz="0" w:space="0" w:color="auto"/>
        <w:bottom w:val="none" w:sz="0" w:space="0" w:color="auto"/>
        <w:right w:val="none" w:sz="0" w:space="0" w:color="auto"/>
      </w:divBdr>
      <w:divsChild>
        <w:div w:id="1630163860">
          <w:marLeft w:val="0"/>
          <w:marRight w:val="0"/>
          <w:marTop w:val="0"/>
          <w:marBottom w:val="0"/>
          <w:divBdr>
            <w:top w:val="none" w:sz="0" w:space="0" w:color="auto"/>
            <w:left w:val="none" w:sz="0" w:space="0" w:color="auto"/>
            <w:bottom w:val="none" w:sz="0" w:space="0" w:color="auto"/>
            <w:right w:val="none" w:sz="0" w:space="0" w:color="auto"/>
          </w:divBdr>
        </w:div>
      </w:divsChild>
    </w:div>
    <w:div w:id="21319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8.png"/><Relationship Id="rId26" Type="http://schemas.openxmlformats.org/officeDocument/2006/relationships/chart" Target="charts/chart2.xml"/><Relationship Id="rId39"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oleObject" Target="embeddings/Microsoft_Office_Excel_97-2003____1.xls"/><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chart" Target="charts/chart1.xml"/><Relationship Id="rId33" Type="http://schemas.openxmlformats.org/officeDocument/2006/relationships/image" Target="media/image16.emf"/><Relationship Id="rId38" Type="http://schemas.openxmlformats.org/officeDocument/2006/relationships/hyperlink" Target="https://www.unodc.org/unodc/en/data-and-analysis/wdr2023_annex.html"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ww.unodc.org/unodc/en/crop-monitoring/index.html" TargetMode="External"/><Relationship Id="rId41"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mcdda.europa.eu/data/stats2022/hsr_en" TargetMode="External"/><Relationship Id="rId32" Type="http://schemas.openxmlformats.org/officeDocument/2006/relationships/image" Target="media/image15.png"/><Relationship Id="rId37" Type="http://schemas.openxmlformats.org/officeDocument/2006/relationships/chart" Target="charts/chart5.xml"/><Relationship Id="rId40" Type="http://schemas.openxmlformats.org/officeDocument/2006/relationships/chart" Target="charts/chart7.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chart" Target="charts/chart3.xml"/><Relationship Id="rId36"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14.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s://www.unodc.org/unodc/en/crop-monitoring/index.html" TargetMode="External"/><Relationship Id="rId30" Type="http://schemas.openxmlformats.org/officeDocument/2006/relationships/chart" Target="charts/chart4.xml"/><Relationship Id="rId35" Type="http://schemas.openxmlformats.org/officeDocument/2006/relationships/image" Target="media/image17.png"/><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core-network.eu/monitoring/" TargetMode="External"/><Relationship Id="rId2" Type="http://schemas.openxmlformats.org/officeDocument/2006/relationships/hyperlink" Target="http://pdas.samhsa.gov/" TargetMode="External"/><Relationship Id="rId1" Type="http://schemas.openxmlformats.org/officeDocument/2006/relationships/hyperlink" Target="https://undocs.org/Home/Mobile?FinalSymbol=E%2FCN.7%2F2020%2F12&amp;Language=E&amp;DeviceType=Desktop&amp;LangRequested=False" TargetMode="External"/><Relationship Id="rId5" Type="http://schemas.openxmlformats.org/officeDocument/2006/relationships/hyperlink" Target="https://www.unodc.org/documents/crop-monitoring/Colombia/Monitoreo_Cultivos_ilicitos_2015.pdf" TargetMode="External"/><Relationship Id="rId4" Type="http://schemas.openxmlformats.org/officeDocument/2006/relationships/hyperlink" Target="http://www.unodc.org/unodc/en/crop-monitoring/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https://unitednations.sharepoint.com/sites/UNOV_UNODC-DPA-RAB/Shared%20Documents/docs/World%20Drug%20Report/WDR_2023/Online%20Data%20and%20Trends/Emerging%20trends/Waste-water%20up%20to%202022/Cocaine-benzoylecgonine%20calc.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https://unitednations.sharepoint.com/sites/UNOV_UNODC-DPA-RAB/Shared%20Documents/docs/World%20Drug%20Report/WDR_2023/Online%20Data%20and%20Trends/Messages/Cocaine-type/Working%20files-cocaine/benzoylecgoning%20-%20results%20-%20Europ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https://unitednations-my.sharepoint.com/personal/thomas_pietschmann_un_org/Documents/STAFF%20PIETSCHM/hundered%20years%20opium%20to%20202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https://unitednations.sharepoint.com/sites/UNOV_UNODC-DPA-RAB/Shared%20Documents/docs/World%20Drug%20Report/WDR_2023/Online%20Data%20and%20Trends/Messages/Opioids/Opioids%20working%20file/OPI3_HE_comment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https://unitednations-my.sharepoint.com/personal/thomas_pietschmann_un_org/Documents/STAFF%20PIETSCHM/DMP%20and%20ARQ%20cocain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oleObject" Target="https://unitednations.sharepoint.com/sites/UNOV_UNODC-DPA-RAB/Shared%20Documents/docs/World%20Drug%20Report/WDR_2023/Online%20Data%20and%20Trends/Messages/Multiple%20drugs/Darkweb2_HE.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https://unitednations.sharepoint.com/sites/UNOV_UNODC-DPA-RAB/Shared%20Documents/docs/World%20Drug%20Report/WDR_2022/Booklet%202/Global%20supply%20-%20working%20files/WDR2022%20Booklet%202%20Supply%20-%20Charts%20-%20For%20Layout_17052022.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https://unitednations.sharepoint.com/sites/UNOV_UNODC-DPA-RAB/Shared%20Documents/docs/World%20Drug%20Report/WDR_2022/Booklet%202/Global%20supply%20-%20working%20files/WDR2022%20Booklet%202%20Supply%20-%20Charts%20-%20For%20Layout_17052022.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population!$N$4</c:f>
              <c:strCache>
                <c:ptCount val="1"/>
                <c:pt idx="0">
                  <c:v>Below inter-quartile range</c:v>
                </c:pt>
              </c:strCache>
            </c:strRef>
          </c:tx>
          <c:spPr>
            <a:solidFill>
              <a:schemeClr val="accent1"/>
            </a:solidFill>
            <a:ln>
              <a:noFill/>
            </a:ln>
            <a:effectLst/>
          </c:spPr>
          <c:cat>
            <c:strRef>
              <c:f>population!$M$5:$M$31</c:f>
              <c:strCache>
                <c:ptCount val="27"/>
                <c:pt idx="0">
                  <c:v>France</c:v>
                </c:pt>
                <c:pt idx="1">
                  <c:v>United Kingdom</c:v>
                </c:pt>
                <c:pt idx="2">
                  <c:v>Poland</c:v>
                </c:pt>
                <c:pt idx="3">
                  <c:v>Italy</c:v>
                </c:pt>
                <c:pt idx="4">
                  <c:v>Spain</c:v>
                </c:pt>
                <c:pt idx="5">
                  <c:v>Portugal</c:v>
                </c:pt>
                <c:pt idx="6">
                  <c:v>Netherlands</c:v>
                </c:pt>
                <c:pt idx="7">
                  <c:v>Germany</c:v>
                </c:pt>
                <c:pt idx="8">
                  <c:v>Belgium</c:v>
                </c:pt>
                <c:pt idx="9">
                  <c:v>European average</c:v>
                </c:pt>
                <c:pt idx="10">
                  <c:v>Slovakia</c:v>
                </c:pt>
                <c:pt idx="11">
                  <c:v>Norway</c:v>
                </c:pt>
                <c:pt idx="12">
                  <c:v>Sweden</c:v>
                </c:pt>
                <c:pt idx="13">
                  <c:v>Denmark</c:v>
                </c:pt>
                <c:pt idx="14">
                  <c:v>Croatia</c:v>
                </c:pt>
                <c:pt idx="15">
                  <c:v>Switzerland</c:v>
                </c:pt>
                <c:pt idx="16">
                  <c:v>Czechia</c:v>
                </c:pt>
                <c:pt idx="17">
                  <c:v>Türkiye</c:v>
                </c:pt>
                <c:pt idx="18">
                  <c:v>Iceland</c:v>
                </c:pt>
                <c:pt idx="19">
                  <c:v>Slovenia</c:v>
                </c:pt>
                <c:pt idx="20">
                  <c:v>Latvia</c:v>
                </c:pt>
                <c:pt idx="21">
                  <c:v>Greece</c:v>
                </c:pt>
                <c:pt idx="22">
                  <c:v>Cyprus</c:v>
                </c:pt>
                <c:pt idx="23">
                  <c:v>Lithuania</c:v>
                </c:pt>
                <c:pt idx="24">
                  <c:v>Estonia</c:v>
                </c:pt>
                <c:pt idx="25">
                  <c:v>Finland</c:v>
                </c:pt>
                <c:pt idx="26">
                  <c:v>Austria</c:v>
                </c:pt>
              </c:strCache>
            </c:strRef>
          </c:cat>
          <c:val>
            <c:numRef>
              <c:f>population!$N$5:$N$31</c:f>
              <c:numCache>
                <c:formatCode>General</c:formatCode>
                <c:ptCount val="27"/>
                <c:pt idx="0">
                  <c:v>1.0199882314763504</c:v>
                </c:pt>
                <c:pt idx="1">
                  <c:v>1.3185721170199758</c:v>
                </c:pt>
                <c:pt idx="2">
                  <c:v>1.706093076836122</c:v>
                </c:pt>
                <c:pt idx="3">
                  <c:v>2.2315690539198876</c:v>
                </c:pt>
                <c:pt idx="4">
                  <c:v>6.7999268145437224</c:v>
                </c:pt>
                <c:pt idx="5">
                  <c:v>6.9677578276026395</c:v>
                </c:pt>
                <c:pt idx="6">
                  <c:v>7.9412883638102372</c:v>
                </c:pt>
              </c:numCache>
            </c:numRef>
          </c:val>
          <c:extLst xmlns:c16r2="http://schemas.microsoft.com/office/drawing/2015/06/chart">
            <c:ext xmlns:c16="http://schemas.microsoft.com/office/drawing/2014/chart" uri="{C3380CC4-5D6E-409C-BE32-E72D297353CC}">
              <c16:uniqueId val="{00000000-3F7A-433B-B1AB-E6EAFC6E3DAD}"/>
            </c:ext>
          </c:extLst>
        </c:ser>
        <c:ser>
          <c:idx val="1"/>
          <c:order val="1"/>
          <c:tx>
            <c:strRef>
              <c:f>population!$O$4</c:f>
              <c:strCache>
                <c:ptCount val="1"/>
                <c:pt idx="0">
                  <c:v>Within inter-quartile range</c:v>
                </c:pt>
              </c:strCache>
            </c:strRef>
          </c:tx>
          <c:spPr>
            <a:solidFill>
              <a:schemeClr val="bg2">
                <a:lumMod val="75000"/>
              </a:schemeClr>
            </a:solidFill>
            <a:ln>
              <a:noFill/>
            </a:ln>
            <a:effectLst/>
          </c:spPr>
          <c:dPt>
            <c:idx val="9"/>
            <c:spPr>
              <a:solidFill>
                <a:schemeClr val="tx1"/>
              </a:solidFill>
              <a:ln>
                <a:noFill/>
              </a:ln>
              <a:effectLst/>
            </c:spPr>
            <c:extLst xmlns:c16r2="http://schemas.microsoft.com/office/drawing/2015/06/chart">
              <c:ext xmlns:c16="http://schemas.microsoft.com/office/drawing/2014/chart" uri="{C3380CC4-5D6E-409C-BE32-E72D297353CC}">
                <c16:uniqueId val="{00000002-3F7A-433B-B1AB-E6EAFC6E3DAD}"/>
              </c:ext>
            </c:extLst>
          </c:dPt>
          <c:val>
            <c:numRef>
              <c:f>population!$O$5:$O$31</c:f>
              <c:numCache>
                <c:formatCode>General</c:formatCode>
                <c:ptCount val="27"/>
                <c:pt idx="7">
                  <c:v>9.1066502308274728</c:v>
                </c:pt>
                <c:pt idx="8">
                  <c:v>9.301745978227391</c:v>
                </c:pt>
                <c:pt idx="9">
                  <c:v>10.28365270052887</c:v>
                </c:pt>
                <c:pt idx="10">
                  <c:v>11.163378165814436</c:v>
                </c:pt>
                <c:pt idx="11">
                  <c:v>11.270943056526495</c:v>
                </c:pt>
                <c:pt idx="12">
                  <c:v>12.018999848995394</c:v>
                </c:pt>
                <c:pt idx="13">
                  <c:v>14.365223307396313</c:v>
                </c:pt>
                <c:pt idx="14">
                  <c:v>16.127601583730474</c:v>
                </c:pt>
                <c:pt idx="15">
                  <c:v>16.717815696909735</c:v>
                </c:pt>
                <c:pt idx="16">
                  <c:v>19.864177444109423</c:v>
                </c:pt>
                <c:pt idx="17">
                  <c:v>20.721769208863499</c:v>
                </c:pt>
                <c:pt idx="18">
                  <c:v>28.694135267371692</c:v>
                </c:pt>
                <c:pt idx="19">
                  <c:v>30.904443911910498</c:v>
                </c:pt>
              </c:numCache>
            </c:numRef>
          </c:val>
          <c:extLst xmlns:c16r2="http://schemas.microsoft.com/office/drawing/2015/06/chart">
            <c:ext xmlns:c16="http://schemas.microsoft.com/office/drawing/2014/chart" uri="{C3380CC4-5D6E-409C-BE32-E72D297353CC}">
              <c16:uniqueId val="{00000003-3F7A-433B-B1AB-E6EAFC6E3DAD}"/>
            </c:ext>
          </c:extLst>
        </c:ser>
        <c:ser>
          <c:idx val="2"/>
          <c:order val="2"/>
          <c:tx>
            <c:strRef>
              <c:f>population!$P$4</c:f>
              <c:strCache>
                <c:ptCount val="1"/>
                <c:pt idx="0">
                  <c:v>Above inter-quartile range</c:v>
                </c:pt>
              </c:strCache>
            </c:strRef>
          </c:tx>
          <c:spPr>
            <a:solidFill>
              <a:schemeClr val="accent2">
                <a:lumMod val="75000"/>
              </a:schemeClr>
            </a:solidFill>
            <a:ln>
              <a:noFill/>
            </a:ln>
            <a:effectLst/>
          </c:spPr>
          <c:val>
            <c:numRef>
              <c:f>population!$P$5:$P$31</c:f>
              <c:numCache>
                <c:formatCode>General</c:formatCode>
                <c:ptCount val="27"/>
                <c:pt idx="20">
                  <c:v>33.485676121537786</c:v>
                </c:pt>
                <c:pt idx="21">
                  <c:v>35.628409554538003</c:v>
                </c:pt>
                <c:pt idx="22">
                  <c:v>43.970599809746517</c:v>
                </c:pt>
                <c:pt idx="23">
                  <c:v>45.652177865533595</c:v>
                </c:pt>
                <c:pt idx="24">
                  <c:v>51.621794456066134</c:v>
                </c:pt>
                <c:pt idx="25">
                  <c:v>58.204839041966444</c:v>
                </c:pt>
                <c:pt idx="26">
                  <c:v>58.534879066966724</c:v>
                </c:pt>
              </c:numCache>
            </c:numRef>
          </c:val>
          <c:extLst xmlns:c16r2="http://schemas.microsoft.com/office/drawing/2015/06/chart">
            <c:ext xmlns:c16="http://schemas.microsoft.com/office/drawing/2014/chart" uri="{C3380CC4-5D6E-409C-BE32-E72D297353CC}">
              <c16:uniqueId val="{00000004-3F7A-433B-B1AB-E6EAFC6E3DAD}"/>
            </c:ext>
          </c:extLst>
        </c:ser>
        <c:gapWidth val="80"/>
        <c:overlap val="100"/>
        <c:axId val="221431296"/>
        <c:axId val="221432832"/>
      </c:barChart>
      <c:catAx>
        <c:axId val="2214312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21432832"/>
        <c:crosses val="autoZero"/>
        <c:auto val="1"/>
        <c:lblAlgn val="ctr"/>
        <c:lblOffset val="100"/>
      </c:catAx>
      <c:valAx>
        <c:axId val="221432832"/>
        <c:scaling>
          <c:orientation val="minMax"/>
          <c:max val="6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p>
            </c:rich>
          </c:tx>
          <c:layout>
            <c:manualLayout>
              <c:xMode val="edge"/>
              <c:yMode val="edge"/>
              <c:x val="8.3333333333333367E-3"/>
              <c:y val="0.17521179644211149"/>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214312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zh-CN"/>
  <c:clrMapOvr bg1="lt1" tx1="dk1" bg2="lt2" tx2="dk2" accent1="accent1" accent2="accent2" accent3="accent3" accent4="accent4" accent5="accent5" accent6="accent6" hlink="hlink" folHlink="folHlink"/>
  <c:chart>
    <c:autoTitleDeleted val="1"/>
    <c:plotArea>
      <c:layout/>
      <c:lineChart>
        <c:grouping val="standard"/>
        <c:ser>
          <c:idx val="2"/>
          <c:order val="0"/>
          <c:tx>
            <c:strRef>
              <c:f>Sheet1!$A$52</c:f>
              <c:strCache>
                <c:ptCount val="1"/>
                <c:pt idx="0">
                  <c:v>Unweighted averages of 7 cities (reporting each year)</c:v>
                </c:pt>
              </c:strCache>
            </c:strRef>
          </c:tx>
          <c:spPr>
            <a:ln w="28575" cap="rnd">
              <a:solidFill>
                <a:schemeClr val="accent3"/>
              </a:solidFill>
              <a:prstDash val="sysDash"/>
              <a:round/>
            </a:ln>
            <a:effectLst/>
          </c:spPr>
          <c:marker>
            <c:symbol val="none"/>
          </c:marker>
          <c:cat>
            <c:multiLvlStrRef>
              <c:f>Sheet1!$B$48:$Y$49</c:f>
              <c:multiLvlStrCache>
                <c:ptCount val="24"/>
                <c:lvl>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2011</c:v>
                  </c:pt>
                  <c:pt idx="13">
                    <c:v>2012</c:v>
                  </c:pt>
                  <c:pt idx="14">
                    <c:v>2013</c:v>
                  </c:pt>
                  <c:pt idx="15">
                    <c:v>2014</c:v>
                  </c:pt>
                  <c:pt idx="16">
                    <c:v>2015</c:v>
                  </c:pt>
                  <c:pt idx="17">
                    <c:v>2016</c:v>
                  </c:pt>
                  <c:pt idx="18">
                    <c:v>2017</c:v>
                  </c:pt>
                  <c:pt idx="19">
                    <c:v>2018</c:v>
                  </c:pt>
                  <c:pt idx="20">
                    <c:v>2019</c:v>
                  </c:pt>
                  <c:pt idx="21">
                    <c:v>2020</c:v>
                  </c:pt>
                  <c:pt idx="22">
                    <c:v>2021</c:v>
                  </c:pt>
                  <c:pt idx="23">
                    <c:v>2022</c:v>
                  </c:pt>
                </c:lvl>
                <c:lvl>
                  <c:pt idx="0">
                    <c:v>Averages (mg/day/1,000 inhabitants)</c:v>
                  </c:pt>
                  <c:pt idx="12">
                    <c:v>Index (2011 = 100)</c:v>
                  </c:pt>
                </c:lvl>
              </c:multiLvlStrCache>
            </c:multiLvlStrRef>
          </c:cat>
          <c:val>
            <c:numRef>
              <c:f>Sheet1!$B$52:$Y$52</c:f>
              <c:numCache>
                <c:formatCode>_(* #,##0_);_(* \(#,##0\);_(* "-"??_);_(@_)</c:formatCode>
                <c:ptCount val="24"/>
                <c:pt idx="0">
                  <c:v>340.9335892335273</c:v>
                </c:pt>
                <c:pt idx="1">
                  <c:v>321.59027665996172</c:v>
                </c:pt>
                <c:pt idx="2">
                  <c:v>297.21271722536954</c:v>
                </c:pt>
                <c:pt idx="3">
                  <c:v>270.094091255009</c:v>
                </c:pt>
                <c:pt idx="4">
                  <c:v>237.22591427366737</c:v>
                </c:pt>
                <c:pt idx="5">
                  <c:v>385.61156187295791</c:v>
                </c:pt>
                <c:pt idx="6">
                  <c:v>394.1887133223259</c:v>
                </c:pt>
                <c:pt idx="7">
                  <c:v>408.38155340438169</c:v>
                </c:pt>
                <c:pt idx="8">
                  <c:v>589.76880392721012</c:v>
                </c:pt>
                <c:pt idx="9">
                  <c:v>593.1175027508425</c:v>
                </c:pt>
                <c:pt idx="10">
                  <c:v>677.89844132476219</c:v>
                </c:pt>
                <c:pt idx="11">
                  <c:v>799.62467268190619</c:v>
                </c:pt>
              </c:numCache>
            </c:numRef>
          </c:val>
          <c:extLst xmlns:c16r2="http://schemas.microsoft.com/office/drawing/2015/06/chart">
            <c:ext xmlns:c16="http://schemas.microsoft.com/office/drawing/2014/chart" uri="{C3380CC4-5D6E-409C-BE32-E72D297353CC}">
              <c16:uniqueId val="{00000000-F757-4EDD-94E5-80DF5E0296C8}"/>
            </c:ext>
          </c:extLst>
        </c:ser>
        <c:ser>
          <c:idx val="3"/>
          <c:order val="1"/>
          <c:tx>
            <c:strRef>
              <c:f>Sheet1!$A$53</c:f>
              <c:strCache>
                <c:ptCount val="1"/>
                <c:pt idx="0">
                  <c:v>Weighted averages of 7 cities (reporting each year)</c:v>
                </c:pt>
              </c:strCache>
            </c:strRef>
          </c:tx>
          <c:spPr>
            <a:ln w="28575" cap="rnd">
              <a:solidFill>
                <a:schemeClr val="tx1"/>
              </a:solidFill>
              <a:round/>
            </a:ln>
            <a:effectLst/>
          </c:spPr>
          <c:marker>
            <c:symbol val="none"/>
          </c:marker>
          <c:cat>
            <c:multiLvlStrRef>
              <c:f>Sheet1!$B$48:$Y$49</c:f>
              <c:multiLvlStrCache>
                <c:ptCount val="24"/>
                <c:lvl>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2011</c:v>
                  </c:pt>
                  <c:pt idx="13">
                    <c:v>2012</c:v>
                  </c:pt>
                  <c:pt idx="14">
                    <c:v>2013</c:v>
                  </c:pt>
                  <c:pt idx="15">
                    <c:v>2014</c:v>
                  </c:pt>
                  <c:pt idx="16">
                    <c:v>2015</c:v>
                  </c:pt>
                  <c:pt idx="17">
                    <c:v>2016</c:v>
                  </c:pt>
                  <c:pt idx="18">
                    <c:v>2017</c:v>
                  </c:pt>
                  <c:pt idx="19">
                    <c:v>2018</c:v>
                  </c:pt>
                  <c:pt idx="20">
                    <c:v>2019</c:v>
                  </c:pt>
                  <c:pt idx="21">
                    <c:v>2020</c:v>
                  </c:pt>
                  <c:pt idx="22">
                    <c:v>2021</c:v>
                  </c:pt>
                  <c:pt idx="23">
                    <c:v>2022</c:v>
                  </c:pt>
                </c:lvl>
                <c:lvl>
                  <c:pt idx="0">
                    <c:v>Averages (mg/day/1,000 inhabitants)</c:v>
                  </c:pt>
                  <c:pt idx="12">
                    <c:v>Index (2011 = 100)</c:v>
                  </c:pt>
                </c:lvl>
              </c:multiLvlStrCache>
            </c:multiLvlStrRef>
          </c:cat>
          <c:val>
            <c:numRef>
              <c:f>Sheet1!$B$53:$Y$53</c:f>
              <c:numCache>
                <c:formatCode>_(* #,##0_);_(* \(#,##0\);_(* "-"??_);_(@_)</c:formatCode>
                <c:ptCount val="24"/>
                <c:pt idx="0">
                  <c:v>263.80241690854422</c:v>
                </c:pt>
                <c:pt idx="1">
                  <c:v>254.21934018268877</c:v>
                </c:pt>
                <c:pt idx="2">
                  <c:v>243.06426936034859</c:v>
                </c:pt>
                <c:pt idx="3">
                  <c:v>223.42527072441538</c:v>
                </c:pt>
                <c:pt idx="4">
                  <c:v>204.95612231648977</c:v>
                </c:pt>
                <c:pt idx="5">
                  <c:v>326.82878467161618</c:v>
                </c:pt>
                <c:pt idx="6">
                  <c:v>341.71294810084305</c:v>
                </c:pt>
                <c:pt idx="7">
                  <c:v>363.04256296857324</c:v>
                </c:pt>
                <c:pt idx="8">
                  <c:v>429.34293291173594</c:v>
                </c:pt>
                <c:pt idx="9">
                  <c:v>507.03166820501525</c:v>
                </c:pt>
                <c:pt idx="10">
                  <c:v>544.4536416834062</c:v>
                </c:pt>
                <c:pt idx="11">
                  <c:v>575.56531319192925</c:v>
                </c:pt>
              </c:numCache>
            </c:numRef>
          </c:val>
          <c:extLst xmlns:c16r2="http://schemas.microsoft.com/office/drawing/2015/06/chart">
            <c:ext xmlns:c16="http://schemas.microsoft.com/office/drawing/2014/chart" uri="{C3380CC4-5D6E-409C-BE32-E72D297353CC}">
              <c16:uniqueId val="{00000001-F757-4EDD-94E5-80DF5E0296C8}"/>
            </c:ext>
          </c:extLst>
        </c:ser>
        <c:ser>
          <c:idx val="0"/>
          <c:order val="2"/>
          <c:tx>
            <c:strRef>
              <c:f>Sheet1!$A$50</c:f>
              <c:strCache>
                <c:ptCount val="1"/>
                <c:pt idx="0">
                  <c:v>Unweighted averages of 119 cities (with missing data estimates)</c:v>
                </c:pt>
              </c:strCache>
            </c:strRef>
          </c:tx>
          <c:spPr>
            <a:ln w="28575" cap="rnd">
              <a:solidFill>
                <a:schemeClr val="accent1"/>
              </a:solidFill>
              <a:prstDash val="sysDash"/>
              <a:round/>
            </a:ln>
            <a:effectLst/>
          </c:spPr>
          <c:marker>
            <c:symbol val="none"/>
          </c:marker>
          <c:cat>
            <c:multiLvlStrRef>
              <c:f>Sheet1!$B$48:$Y$49</c:f>
              <c:multiLvlStrCache>
                <c:ptCount val="24"/>
                <c:lvl>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2011</c:v>
                  </c:pt>
                  <c:pt idx="13">
                    <c:v>2012</c:v>
                  </c:pt>
                  <c:pt idx="14">
                    <c:v>2013</c:v>
                  </c:pt>
                  <c:pt idx="15">
                    <c:v>2014</c:v>
                  </c:pt>
                  <c:pt idx="16">
                    <c:v>2015</c:v>
                  </c:pt>
                  <c:pt idx="17">
                    <c:v>2016</c:v>
                  </c:pt>
                  <c:pt idx="18">
                    <c:v>2017</c:v>
                  </c:pt>
                  <c:pt idx="19">
                    <c:v>2018</c:v>
                  </c:pt>
                  <c:pt idx="20">
                    <c:v>2019</c:v>
                  </c:pt>
                  <c:pt idx="21">
                    <c:v>2020</c:v>
                  </c:pt>
                  <c:pt idx="22">
                    <c:v>2021</c:v>
                  </c:pt>
                  <c:pt idx="23">
                    <c:v>2022</c:v>
                  </c:pt>
                </c:lvl>
                <c:lvl>
                  <c:pt idx="0">
                    <c:v>Averages (mg/day/1,000 inhabitants)</c:v>
                  </c:pt>
                  <c:pt idx="12">
                    <c:v>Index (2011 = 100)</c:v>
                  </c:pt>
                </c:lvl>
              </c:multiLvlStrCache>
            </c:multiLvlStrRef>
          </c:cat>
          <c:val>
            <c:numRef>
              <c:f>Sheet1!$B$50:$Y$50</c:f>
              <c:numCache>
                <c:formatCode>_(* #,##0_);_(* \(#,##0\);_(* "-"??_);_(@_)</c:formatCode>
                <c:ptCount val="24"/>
                <c:pt idx="0">
                  <c:v>152.62794623563224</c:v>
                </c:pt>
                <c:pt idx="1">
                  <c:v>151.8918605946636</c:v>
                </c:pt>
                <c:pt idx="2">
                  <c:v>154.74329823144714</c:v>
                </c:pt>
                <c:pt idx="3">
                  <c:v>159.83136674218886</c:v>
                </c:pt>
                <c:pt idx="4">
                  <c:v>153.9440796118507</c:v>
                </c:pt>
                <c:pt idx="5">
                  <c:v>175.33220777504025</c:v>
                </c:pt>
                <c:pt idx="6">
                  <c:v>196.62004828153508</c:v>
                </c:pt>
                <c:pt idx="7">
                  <c:v>205.8434490619004</c:v>
                </c:pt>
                <c:pt idx="8">
                  <c:v>225.44421775380201</c:v>
                </c:pt>
                <c:pt idx="9">
                  <c:v>213.63030592425002</c:v>
                </c:pt>
                <c:pt idx="10">
                  <c:v>236.66362600399174</c:v>
                </c:pt>
                <c:pt idx="11">
                  <c:v>264.37396722641176</c:v>
                </c:pt>
              </c:numCache>
            </c:numRef>
          </c:val>
          <c:extLst xmlns:c16r2="http://schemas.microsoft.com/office/drawing/2015/06/chart">
            <c:ext xmlns:c16="http://schemas.microsoft.com/office/drawing/2014/chart" uri="{C3380CC4-5D6E-409C-BE32-E72D297353CC}">
              <c16:uniqueId val="{00000002-F757-4EDD-94E5-80DF5E0296C8}"/>
            </c:ext>
          </c:extLst>
        </c:ser>
        <c:ser>
          <c:idx val="1"/>
          <c:order val="3"/>
          <c:tx>
            <c:strRef>
              <c:f>Sheet1!$A$51</c:f>
              <c:strCache>
                <c:ptCount val="1"/>
                <c:pt idx="0">
                  <c:v>Weighted averages of 119 cities (with missing data estimates)</c:v>
                </c:pt>
              </c:strCache>
            </c:strRef>
          </c:tx>
          <c:spPr>
            <a:ln w="28575" cap="rnd">
              <a:solidFill>
                <a:schemeClr val="accent2"/>
              </a:solidFill>
              <a:prstDash val="solid"/>
              <a:round/>
            </a:ln>
            <a:effectLst/>
          </c:spPr>
          <c:marker>
            <c:symbol val="none"/>
          </c:marker>
          <c:cat>
            <c:multiLvlStrRef>
              <c:f>Sheet1!$B$48:$Y$49</c:f>
              <c:multiLvlStrCache>
                <c:ptCount val="24"/>
                <c:lvl>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2011</c:v>
                  </c:pt>
                  <c:pt idx="13">
                    <c:v>2012</c:v>
                  </c:pt>
                  <c:pt idx="14">
                    <c:v>2013</c:v>
                  </c:pt>
                  <c:pt idx="15">
                    <c:v>2014</c:v>
                  </c:pt>
                  <c:pt idx="16">
                    <c:v>2015</c:v>
                  </c:pt>
                  <c:pt idx="17">
                    <c:v>2016</c:v>
                  </c:pt>
                  <c:pt idx="18">
                    <c:v>2017</c:v>
                  </c:pt>
                  <c:pt idx="19">
                    <c:v>2018</c:v>
                  </c:pt>
                  <c:pt idx="20">
                    <c:v>2019</c:v>
                  </c:pt>
                  <c:pt idx="21">
                    <c:v>2020</c:v>
                  </c:pt>
                  <c:pt idx="22">
                    <c:v>2021</c:v>
                  </c:pt>
                  <c:pt idx="23">
                    <c:v>2022</c:v>
                  </c:pt>
                </c:lvl>
                <c:lvl>
                  <c:pt idx="0">
                    <c:v>Averages (mg/day/1,000 inhabitants)</c:v>
                  </c:pt>
                  <c:pt idx="12">
                    <c:v>Index (2011 = 100)</c:v>
                  </c:pt>
                </c:lvl>
              </c:multiLvlStrCache>
            </c:multiLvlStrRef>
          </c:cat>
          <c:val>
            <c:numRef>
              <c:f>Sheet1!$B$51:$Y$51</c:f>
              <c:numCache>
                <c:formatCode>_(* #,##0_);_(* \(#,##0\);_(* "-"??_);_(@_)</c:formatCode>
                <c:ptCount val="24"/>
                <c:pt idx="0">
                  <c:v>162.11528458804102</c:v>
                </c:pt>
                <c:pt idx="1">
                  <c:v>162.51522888335296</c:v>
                </c:pt>
                <c:pt idx="2">
                  <c:v>164.97808169517612</c:v>
                </c:pt>
                <c:pt idx="3">
                  <c:v>173.39974613385553</c:v>
                </c:pt>
                <c:pt idx="4">
                  <c:v>168.51838537636601</c:v>
                </c:pt>
                <c:pt idx="5">
                  <c:v>185.39199081342701</c:v>
                </c:pt>
                <c:pt idx="6">
                  <c:v>209.18237580251684</c:v>
                </c:pt>
                <c:pt idx="7">
                  <c:v>227.16084325748218</c:v>
                </c:pt>
                <c:pt idx="8">
                  <c:v>232.45319875996694</c:v>
                </c:pt>
                <c:pt idx="9">
                  <c:v>234.03373481148591</c:v>
                </c:pt>
                <c:pt idx="10">
                  <c:v>248.46380919987607</c:v>
                </c:pt>
                <c:pt idx="11">
                  <c:v>281.03629321238628</c:v>
                </c:pt>
              </c:numCache>
            </c:numRef>
          </c:val>
          <c:extLst xmlns:c16r2="http://schemas.microsoft.com/office/drawing/2015/06/chart">
            <c:ext xmlns:c16="http://schemas.microsoft.com/office/drawing/2014/chart" uri="{C3380CC4-5D6E-409C-BE32-E72D297353CC}">
              <c16:uniqueId val="{00000003-F757-4EDD-94E5-80DF5E0296C8}"/>
            </c:ext>
          </c:extLst>
        </c:ser>
        <c:marker val="1"/>
        <c:axId val="218801664"/>
        <c:axId val="218803200"/>
      </c:lineChart>
      <c:lineChart>
        <c:grouping val="standard"/>
        <c:ser>
          <c:idx val="4"/>
          <c:order val="4"/>
          <c:tx>
            <c:strRef>
              <c:f>Sheet1!$A$54</c:f>
              <c:strCache>
                <c:ptCount val="1"/>
                <c:pt idx="0">
                  <c:v>Chained index</c:v>
                </c:pt>
              </c:strCache>
            </c:strRef>
          </c:tx>
          <c:spPr>
            <a:ln w="28575" cap="rnd">
              <a:solidFill>
                <a:schemeClr val="tx1">
                  <a:lumMod val="65000"/>
                  <a:lumOff val="35000"/>
                </a:schemeClr>
              </a:solidFill>
              <a:prstDash val="sysDash"/>
              <a:round/>
            </a:ln>
            <a:effectLst/>
          </c:spPr>
          <c:marker>
            <c:symbol val="none"/>
          </c:marker>
          <c:cat>
            <c:multiLvlStrRef>
              <c:f>Sheet1!$B$48:$Y$49</c:f>
              <c:multiLvlStrCache>
                <c:ptCount val="24"/>
                <c:lvl>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2011</c:v>
                  </c:pt>
                  <c:pt idx="13">
                    <c:v>2012</c:v>
                  </c:pt>
                  <c:pt idx="14">
                    <c:v>2013</c:v>
                  </c:pt>
                  <c:pt idx="15">
                    <c:v>2014</c:v>
                  </c:pt>
                  <c:pt idx="16">
                    <c:v>2015</c:v>
                  </c:pt>
                  <c:pt idx="17">
                    <c:v>2016</c:v>
                  </c:pt>
                  <c:pt idx="18">
                    <c:v>2017</c:v>
                  </c:pt>
                  <c:pt idx="19">
                    <c:v>2018</c:v>
                  </c:pt>
                  <c:pt idx="20">
                    <c:v>2019</c:v>
                  </c:pt>
                  <c:pt idx="21">
                    <c:v>2020</c:v>
                  </c:pt>
                  <c:pt idx="22">
                    <c:v>2021</c:v>
                  </c:pt>
                  <c:pt idx="23">
                    <c:v>2022</c:v>
                  </c:pt>
                </c:lvl>
                <c:lvl>
                  <c:pt idx="0">
                    <c:v>Averages (mg/day/1,000 inhabitants)</c:v>
                  </c:pt>
                  <c:pt idx="12">
                    <c:v>Index (2011 = 100)</c:v>
                  </c:pt>
                </c:lvl>
              </c:multiLvlStrCache>
            </c:multiLvlStrRef>
          </c:cat>
          <c:val>
            <c:numRef>
              <c:f>Sheet1!$B$54:$Y$54</c:f>
              <c:numCache>
                <c:formatCode>General</c:formatCode>
                <c:ptCount val="24"/>
                <c:pt idx="12" formatCode="_(* #,##0_);_(* \(#,##0\);_(* &quot;-&quot;??_);_(@_)">
                  <c:v>100</c:v>
                </c:pt>
                <c:pt idx="13" formatCode="_(* #,##0_);_(* \(#,##0\);_(* &quot;-&quot;??_);_(@_)">
                  <c:v>97.158045446274059</c:v>
                </c:pt>
                <c:pt idx="14" formatCode="_(* #,##0_);_(* \(#,##0\);_(* &quot;-&quot;??_);_(@_)">
                  <c:v>103.15884840139711</c:v>
                </c:pt>
                <c:pt idx="15" formatCode="_(* #,##0_);_(* \(#,##0\);_(* &quot;-&quot;??_);_(@_)">
                  <c:v>109.2433114060637</c:v>
                </c:pt>
                <c:pt idx="16" formatCode="_(* #,##0_);_(* \(#,##0\);_(* &quot;-&quot;??_);_(@_)">
                  <c:v>93.913277881551792</c:v>
                </c:pt>
                <c:pt idx="17" formatCode="_(* #,##0_);_(* \(#,##0\);_(* &quot;-&quot;??_);_(@_)">
                  <c:v>129.57270006419333</c:v>
                </c:pt>
                <c:pt idx="18" formatCode="_(* #,##0_);_(* \(#,##0\);_(* &quot;-&quot;??_);_(@_)">
                  <c:v>163.56915448276041</c:v>
                </c:pt>
                <c:pt idx="19" formatCode="_(* #,##0_);_(* \(#,##0\);_(* &quot;-&quot;??_);_(@_)">
                  <c:v>174.11232054616815</c:v>
                </c:pt>
                <c:pt idx="20" formatCode="_(* #,##0_);_(* \(#,##0\);_(* &quot;-&quot;??_);_(@_)">
                  <c:v>199.92832616034204</c:v>
                </c:pt>
                <c:pt idx="21" formatCode="_(* #,##0_);_(* \(#,##0\);_(* &quot;-&quot;??_);_(@_)">
                  <c:v>182.47183178559541</c:v>
                </c:pt>
                <c:pt idx="22" formatCode="_(* #,##0_);_(* \(#,##0\);_(* &quot;-&quot;??_);_(@_)">
                  <c:v>214.61043265840408</c:v>
                </c:pt>
                <c:pt idx="23" formatCode="_(* #,##0_);_(* \(#,##0\);_(* &quot;-&quot;??_);_(@_)">
                  <c:v>251.80016430356588</c:v>
                </c:pt>
              </c:numCache>
            </c:numRef>
          </c:val>
          <c:extLst xmlns:c16r2="http://schemas.microsoft.com/office/drawing/2015/06/chart">
            <c:ext xmlns:c16="http://schemas.microsoft.com/office/drawing/2014/chart" uri="{C3380CC4-5D6E-409C-BE32-E72D297353CC}">
              <c16:uniqueId val="{00000004-F757-4EDD-94E5-80DF5E0296C8}"/>
            </c:ext>
          </c:extLst>
        </c:ser>
        <c:marker val="1"/>
        <c:axId val="221387776"/>
        <c:axId val="221385856"/>
      </c:lineChart>
      <c:catAx>
        <c:axId val="21880166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8803200"/>
        <c:crosses val="autoZero"/>
        <c:auto val="1"/>
        <c:lblAlgn val="ctr"/>
        <c:lblOffset val="100"/>
      </c:catAx>
      <c:valAx>
        <c:axId val="218803200"/>
        <c:scaling>
          <c:orientation val="minMax"/>
          <c:max val="80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Averages (mg/day/1,000 inhabitants</a:t>
                </a:r>
              </a:p>
            </c:rich>
          </c:tx>
          <c:layout>
            <c:manualLayout>
              <c:xMode val="edge"/>
              <c:yMode val="edge"/>
              <c:x val="1.5739179314221481E-2"/>
              <c:y val="3.0568948137497748E-2"/>
            </c:manualLayout>
          </c:layout>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8801664"/>
        <c:crosses val="autoZero"/>
        <c:crossBetween val="between"/>
      </c:valAx>
      <c:valAx>
        <c:axId val="221385856"/>
        <c:scaling>
          <c:orientation val="minMax"/>
          <c:max val="275"/>
          <c:min val="75"/>
        </c:scaling>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Chained index (2011 = 100)</a:t>
                </a:r>
              </a:p>
            </c:rich>
          </c:tx>
          <c:layout>
            <c:manualLayout>
              <c:xMode val="edge"/>
              <c:yMode val="edge"/>
              <c:x val="0.95232144042702949"/>
              <c:y val="9.3658112863020768E-2"/>
            </c:manualLayout>
          </c:layout>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21387776"/>
        <c:crosses val="max"/>
        <c:crossBetween val="between"/>
        <c:majorUnit val="25"/>
      </c:valAx>
      <c:catAx>
        <c:axId val="221387776"/>
        <c:scaling>
          <c:orientation val="minMax"/>
        </c:scaling>
        <c:delete val="1"/>
        <c:axPos val="b"/>
        <c:numFmt formatCode="General" sourceLinked="1"/>
        <c:tickLblPos val="none"/>
        <c:crossAx val="221385856"/>
        <c:crosses val="autoZero"/>
        <c:auto val="1"/>
        <c:lblAlgn val="ctr"/>
        <c:lblOffset val="100"/>
      </c:catAx>
      <c:spPr>
        <a:noFill/>
        <a:ln>
          <a:noFill/>
        </a:ln>
        <a:effectLst/>
      </c:spPr>
    </c:plotArea>
    <c:legend>
      <c:legendPos val="b"/>
      <c:layout>
        <c:manualLayout>
          <c:xMode val="edge"/>
          <c:yMode val="edge"/>
          <c:x val="4.6428915135608054E-2"/>
          <c:y val="0.71400040784812746"/>
          <c:w val="0.92843683746951555"/>
          <c:h val="0.25822180737217015"/>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manualLayout>
          <c:layoutTarget val="inner"/>
          <c:xMode val="edge"/>
          <c:yMode val="edge"/>
          <c:x val="0.13997400814037159"/>
          <c:y val="2.2993397937692804E-2"/>
          <c:w val="0.8205788579528086"/>
          <c:h val="0.68991909501497461"/>
        </c:manualLayout>
      </c:layout>
      <c:barChart>
        <c:barDir val="col"/>
        <c:grouping val="stacked"/>
        <c:ser>
          <c:idx val="1"/>
          <c:order val="0"/>
          <c:tx>
            <c:strRef>
              <c:f>Sheet1!$A$4</c:f>
              <c:strCache>
                <c:ptCount val="1"/>
                <c:pt idx="0">
                  <c:v>Licit opium production</c:v>
                </c:pt>
              </c:strCache>
            </c:strRef>
          </c:tx>
          <c:spPr>
            <a:solidFill>
              <a:srgbClr val="008000"/>
            </a:solidFill>
            <a:ln w="25400">
              <a:noFill/>
            </a:ln>
          </c:spPr>
          <c:cat>
            <c:strRef>
              <c:f>Sheet1!$B$3:$AX$3</c:f>
              <c:strCache>
                <c:ptCount val="49"/>
                <c:pt idx="0">
                  <c:v>1906/07</c:v>
                </c:pt>
                <c:pt idx="2">
                  <c:v>1909</c:v>
                </c:pt>
                <c:pt idx="4">
                  <c:v>1934</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pt idx="48">
                  <c:v>2022</c:v>
                </c:pt>
              </c:strCache>
            </c:strRef>
          </c:cat>
          <c:val>
            <c:numRef>
              <c:f>Sheet1!$B$4:$AX$4</c:f>
              <c:numCache>
                <c:formatCode>General</c:formatCode>
                <c:ptCount val="49"/>
                <c:pt idx="0" formatCode="_-* #,##0_-;\-* #,##0_-;_-* &quot;-&quot;??_-;_-@_-">
                  <c:v>41600</c:v>
                </c:pt>
                <c:pt idx="2" formatCode="_-* #,##0_-;\-* #,##0_-;_-* &quot;-&quot;??_-;_-@_-">
                  <c:v>30000</c:v>
                </c:pt>
                <c:pt idx="4" formatCode="_-* #,##0_-;\-* #,##0_-;_-* &quot;-&quot;??_-;_-@_-">
                  <c:v>9400</c:v>
                </c:pt>
                <c:pt idx="6" formatCode="0">
                  <c:v>968.67100000000005</c:v>
                </c:pt>
                <c:pt idx="7" formatCode="0">
                  <c:v>1162.1919999999998</c:v>
                </c:pt>
                <c:pt idx="8" formatCode="0">
                  <c:v>935.10799999999972</c:v>
                </c:pt>
                <c:pt idx="9" formatCode="0">
                  <c:v>1002.49</c:v>
                </c:pt>
                <c:pt idx="10" formatCode="0">
                  <c:v>453.96699999999976</c:v>
                </c:pt>
                <c:pt idx="11" formatCode="0">
                  <c:v>801.8399999999998</c:v>
                </c:pt>
                <c:pt idx="12" formatCode="0">
                  <c:v>696.08900000000028</c:v>
                </c:pt>
                <c:pt idx="13" formatCode="0">
                  <c:v>712.77100000000019</c:v>
                </c:pt>
                <c:pt idx="14" formatCode="0">
                  <c:v>595.18600000000004</c:v>
                </c:pt>
                <c:pt idx="15" formatCode="0">
                  <c:v>505.16300000000001</c:v>
                </c:pt>
                <c:pt idx="16" formatCode="0">
                  <c:v>437.09099999999989</c:v>
                </c:pt>
                <c:pt idx="17" formatCode="0">
                  <c:v>407.66300000000001</c:v>
                </c:pt>
                <c:pt idx="18" formatCode="0">
                  <c:v>509.05099999999999</c:v>
                </c:pt>
                <c:pt idx="19" formatCode="0">
                  <c:v>365.58300000000003</c:v>
                </c:pt>
                <c:pt idx="20" formatCode="0">
                  <c:v>448.72399999999988</c:v>
                </c:pt>
                <c:pt idx="21" formatCode="0">
                  <c:v>827.19500000000005</c:v>
                </c:pt>
                <c:pt idx="22" formatCode="0">
                  <c:v>858.50400000000002</c:v>
                </c:pt>
                <c:pt idx="23" formatCode="0">
                  <c:v>1023.092</c:v>
                </c:pt>
                <c:pt idx="24" formatCode="0">
                  <c:v>276.779</c:v>
                </c:pt>
                <c:pt idx="25" formatCode="0">
                  <c:v>1092.069</c:v>
                </c:pt>
                <c:pt idx="26" formatCode="0">
                  <c:v>1341.038</c:v>
                </c:pt>
                <c:pt idx="27" formatCode="0">
                  <c:v>778.09199999999998</c:v>
                </c:pt>
                <c:pt idx="28" formatCode="0">
                  <c:v>820.74599999999998</c:v>
                </c:pt>
                <c:pt idx="29" formatCode="0">
                  <c:v>526.524</c:v>
                </c:pt>
                <c:pt idx="30" formatCode="0">
                  <c:v>847.08</c:v>
                </c:pt>
                <c:pt idx="31" formatCode="0">
                  <c:v>345.18700000000001</c:v>
                </c:pt>
                <c:pt idx="32" formatCode="0">
                  <c:v>353.952</c:v>
                </c:pt>
                <c:pt idx="33" formatCode="0">
                  <c:v>282.3</c:v>
                </c:pt>
                <c:pt idx="34">
                  <c:v>143.69999999999999</c:v>
                </c:pt>
                <c:pt idx="35" formatCode="0">
                  <c:v>407.1</c:v>
                </c:pt>
                <c:pt idx="36" formatCode="0">
                  <c:v>580.4</c:v>
                </c:pt>
                <c:pt idx="37" formatCode="0">
                  <c:v>789.1</c:v>
                </c:pt>
                <c:pt idx="38" formatCode="0">
                  <c:v>618.053</c:v>
                </c:pt>
                <c:pt idx="39" formatCode="0">
                  <c:v>301.59699999999975</c:v>
                </c:pt>
                <c:pt idx="40" formatCode="0">
                  <c:v>287.053</c:v>
                </c:pt>
                <c:pt idx="41" formatCode="0">
                  <c:v>342.5209999999999</c:v>
                </c:pt>
                <c:pt idx="42" formatCode="0">
                  <c:v>42.260000000000012</c:v>
                </c:pt>
                <c:pt idx="43" formatCode="0">
                  <c:v>439</c:v>
                </c:pt>
                <c:pt idx="44" formatCode="0">
                  <c:v>232</c:v>
                </c:pt>
                <c:pt idx="45" formatCode="0">
                  <c:v>318</c:v>
                </c:pt>
                <c:pt idx="46" formatCode="0">
                  <c:v>250</c:v>
                </c:pt>
                <c:pt idx="47" formatCode="0">
                  <c:v>250.8</c:v>
                </c:pt>
                <c:pt idx="48" formatCode="0">
                  <c:v>216</c:v>
                </c:pt>
              </c:numCache>
            </c:numRef>
          </c:val>
          <c:extLst xmlns:c16r2="http://schemas.microsoft.com/office/drawing/2015/06/chart">
            <c:ext xmlns:c16="http://schemas.microsoft.com/office/drawing/2014/chart" uri="{C3380CC4-5D6E-409C-BE32-E72D297353CC}">
              <c16:uniqueId val="{00000000-3657-4BB8-9AC9-318DE51511B2}"/>
            </c:ext>
          </c:extLst>
        </c:ser>
        <c:ser>
          <c:idx val="2"/>
          <c:order val="1"/>
          <c:tx>
            <c:strRef>
              <c:f>Sheet1!$A$22</c:f>
              <c:strCache>
                <c:ptCount val="1"/>
                <c:pt idx="0">
                  <c:v>Licit poppy straw production in opium equivalents in tons</c:v>
                </c:pt>
              </c:strCache>
            </c:strRef>
          </c:tx>
          <c:spPr>
            <a:pattFill prst="wdUpDiag">
              <a:fgClr>
                <a:srgbClr val="008000"/>
              </a:fgClr>
              <a:bgClr>
                <a:srgbClr val="FFFFFF"/>
              </a:bgClr>
            </a:pattFill>
            <a:ln w="12700">
              <a:solidFill>
                <a:srgbClr val="5CBCCA"/>
              </a:solidFill>
              <a:prstDash val="solid"/>
            </a:ln>
          </c:spPr>
          <c:cat>
            <c:strRef>
              <c:f>Sheet1!$B$3:$AX$3</c:f>
              <c:strCache>
                <c:ptCount val="49"/>
                <c:pt idx="0">
                  <c:v>1906/07</c:v>
                </c:pt>
                <c:pt idx="2">
                  <c:v>1909</c:v>
                </c:pt>
                <c:pt idx="4">
                  <c:v>1934</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pt idx="48">
                  <c:v>2022</c:v>
                </c:pt>
              </c:strCache>
            </c:strRef>
          </c:cat>
          <c:val>
            <c:numRef>
              <c:f>Sheet1!$B$22:$AX$22</c:f>
              <c:numCache>
                <c:formatCode>General</c:formatCode>
                <c:ptCount val="49"/>
                <c:pt idx="2">
                  <c:v>0</c:v>
                </c:pt>
                <c:pt idx="6" formatCode="_-* #,##0_-;\-* #,##0_-;_-* &quot;-&quot;??_-;_-@_-">
                  <c:v>1608.242554528583</c:v>
                </c:pt>
                <c:pt idx="7" formatCode="_-* #,##0_-;\-* #,##0_-;_-* &quot;-&quot;??_-;_-@_-">
                  <c:v>1269.2023062825358</c:v>
                </c:pt>
                <c:pt idx="8" formatCode="_-* #,##0_-;\-* #,##0_-;_-* &quot;-&quot;??_-;_-@_-">
                  <c:v>1139.6683835587128</c:v>
                </c:pt>
                <c:pt idx="9" formatCode="_-* #,##0_-;\-* #,##0_-;_-* &quot;-&quot;??_-;_-@_-">
                  <c:v>1071.4386911280485</c:v>
                </c:pt>
                <c:pt idx="10" formatCode="_-* #,##0_-;\-* #,##0_-;_-* &quot;-&quot;??_-;_-@_-">
                  <c:v>1606.3521482959375</c:v>
                </c:pt>
                <c:pt idx="11" formatCode="_-* #,##0_-;\-* #,##0_-;_-* &quot;-&quot;??_-;_-@_-">
                  <c:v>1113.1664498169653</c:v>
                </c:pt>
                <c:pt idx="12" formatCode="_-* #,##0_-;\-* #,##0_-;_-* &quot;-&quot;??_-;_-@_-">
                  <c:v>860.70524538611164</c:v>
                </c:pt>
                <c:pt idx="13" formatCode="_-* #,##0_-;\-* #,##0_-;_-* &quot;-&quot;??_-;_-@_-">
                  <c:v>804.7377140792845</c:v>
                </c:pt>
                <c:pt idx="14" formatCode="_-* #,##0_-;\-* #,##0_-;_-* &quot;-&quot;??_-;_-@_-">
                  <c:v>1357.3116750388413</c:v>
                </c:pt>
                <c:pt idx="15" formatCode="_-* #,##0_-;\-* #,##0_-;_-* &quot;-&quot;??_-;_-@_-">
                  <c:v>1158.275980872935</c:v>
                </c:pt>
                <c:pt idx="16" formatCode="_-* #,##0_-;\-* #,##0_-;_-* &quot;-&quot;??_-;_-@_-">
                  <c:v>1299.9634896495809</c:v>
                </c:pt>
                <c:pt idx="17" formatCode="_-* #,##0_-;\-* #,##0_-;_-* &quot;-&quot;??_-;_-@_-">
                  <c:v>2896.3496628617431</c:v>
                </c:pt>
                <c:pt idx="18" formatCode="_-* #,##0_-;\-* #,##0_-;_-* &quot;-&quot;??_-;_-@_-">
                  <c:v>1813.3294390451849</c:v>
                </c:pt>
                <c:pt idx="19" formatCode="_-* #,##0_-;\-* #,##0_-;_-* &quot;-&quot;??_-;_-@_-">
                  <c:v>1016.5459790518423</c:v>
                </c:pt>
                <c:pt idx="20" formatCode="_-* #,##0_-;\-* #,##0_-;_-* &quot;-&quot;??_-;_-@_-">
                  <c:v>2073.4672544205082</c:v>
                </c:pt>
                <c:pt idx="21" formatCode="_-* #,##0_-;\-* #,##0_-;_-* &quot;-&quot;??_-;_-@_-">
                  <c:v>3306.1268575439685</c:v>
                </c:pt>
                <c:pt idx="22" formatCode="_-* #,##0_-;\-* #,##0_-;_-* &quot;-&quot;??_-;_-@_-">
                  <c:v>1423.9337002560048</c:v>
                </c:pt>
                <c:pt idx="23" formatCode="_-* #,##0_-;\-* #,##0_-;_-* &quot;-&quot;??_-;_-@_-">
                  <c:v>2007.5452548504506</c:v>
                </c:pt>
                <c:pt idx="24" formatCode="_-* #,##0_-;\-* #,##0_-;_-* &quot;-&quot;??_-;_-@_-">
                  <c:v>3804.3931460605377</c:v>
                </c:pt>
                <c:pt idx="25" formatCode="_-* #,##0_-;\-* #,##0_-;_-* &quot;-&quot;??_-;_-@_-">
                  <c:v>4296.6112031231223</c:v>
                </c:pt>
                <c:pt idx="26" formatCode="_-* #,##0_-;\-* #,##0_-;_-* &quot;-&quot;??_-;_-@_-">
                  <c:v>2980.7123286565225</c:v>
                </c:pt>
                <c:pt idx="27" formatCode="_-* #,##0_-;\-* #,##0_-;_-* &quot;-&quot;??_-;_-@_-">
                  <c:v>3338.1689966125691</c:v>
                </c:pt>
                <c:pt idx="28" formatCode="_-* #,##0_-;\-* #,##0_-;_-* &quot;-&quot;??_-;_-@_-">
                  <c:v>4160.5366392174992</c:v>
                </c:pt>
                <c:pt idx="29" formatCode="_-* #,##0_-;\-* #,##0_-;_-* &quot;-&quot;??_-;_-@_-">
                  <c:v>6018.2323509029184</c:v>
                </c:pt>
                <c:pt idx="30" formatCode="_-* #,##0_-;\-* #,##0_-;_-* &quot;-&quot;??_-;_-@_-">
                  <c:v>3808.906449845188</c:v>
                </c:pt>
                <c:pt idx="31" formatCode="_-* #,##0_-;\-* #,##0_-;_-* &quot;-&quot;??_-;_-@_-">
                  <c:v>3164.6024990443566</c:v>
                </c:pt>
                <c:pt idx="32" formatCode="_-* #,##0_-;\-* #,##0_-;_-* &quot;-&quot;??_-;_-@_-">
                  <c:v>3344.8060875759493</c:v>
                </c:pt>
                <c:pt idx="33" formatCode="_-* #,##0_-;\-* #,##0_-;_-* &quot;-&quot;??_-;_-@_-">
                  <c:v>2039.8318040117949</c:v>
                </c:pt>
                <c:pt idx="34" formatCode="_-* #,##0_-;\-* #,##0_-;_-* &quot;-&quot;??_-;_-@_-">
                  <c:v>1955.2919990124142</c:v>
                </c:pt>
                <c:pt idx="35" formatCode="_-* #,##0_-;\-* #,##0_-;_-* &quot;-&quot;??_-;_-@_-">
                  <c:v>2809.6218044515649</c:v>
                </c:pt>
                <c:pt idx="36" formatCode="_-* #,##0_-;\-* #,##0_-;_-* &quot;-&quot;??_-;_-@_-">
                  <c:v>3461.8572312348497</c:v>
                </c:pt>
                <c:pt idx="37" formatCode="_-* #,##0_-;\-* #,##0_-;_-* &quot;-&quot;??_-;_-@_-">
                  <c:v>4848.1425418774916</c:v>
                </c:pt>
                <c:pt idx="38" formatCode="_-* #,##0_-;\-* #,##0_-;_-* &quot;-&quot;??_-;_-@_-">
                  <c:v>2460.1370104667658</c:v>
                </c:pt>
                <c:pt idx="39" formatCode="_-* #,##0_-;\-* #,##0_-;_-* &quot;-&quot;??_-;_-@_-">
                  <c:v>3511.6607722772433</c:v>
                </c:pt>
                <c:pt idx="40" formatCode="_-* #,##0_-;\-* #,##0_-;_-* &quot;-&quot;??_-;_-@_-">
                  <c:v>3918.0602774962658</c:v>
                </c:pt>
                <c:pt idx="41" formatCode="_-* #,##0_-;\-* #,##0_-;_-* &quot;-&quot;??_-;_-@_-">
                  <c:v>4211.6416719118824</c:v>
                </c:pt>
                <c:pt idx="42" formatCode="_-* #,##0_-;\-* #,##0_-;_-* &quot;-&quot;??_-;_-@_-">
                  <c:v>2545.8927320046046</c:v>
                </c:pt>
                <c:pt idx="43" formatCode="_-* #,##0_-;\-* #,##0_-;_-* &quot;-&quot;??_-;_-@_-">
                  <c:v>2207.2405807452446</c:v>
                </c:pt>
                <c:pt idx="44" formatCode="_-* #,##0_-;\-* #,##0_-;_-* &quot;-&quot;??_-;_-@_-">
                  <c:v>4037.6274741196789</c:v>
                </c:pt>
                <c:pt idx="45" formatCode="_-* #,##0_-;\-* #,##0_-;_-* &quot;-&quot;??_-;_-@_-">
                  <c:v>5452.660817382899</c:v>
                </c:pt>
                <c:pt idx="46" formatCode="_-* #,##0_-;\-* #,##0_-;_-* &quot;-&quot;??_-;_-@_-">
                  <c:v>3822.9932000841741</c:v>
                </c:pt>
                <c:pt idx="47" formatCode="_-* #,##0_-;\-* #,##0_-;_-* &quot;-&quot;??_-;_-@_-">
                  <c:v>2318.3904618197757</c:v>
                </c:pt>
                <c:pt idx="48" formatCode="_-* #,##0_-;\-* #,##0_-;_-* &quot;-&quot;??_-;_-@_-">
                  <c:v>3656.2266690872343</c:v>
                </c:pt>
              </c:numCache>
            </c:numRef>
          </c:val>
          <c:extLst xmlns:c16r2="http://schemas.microsoft.com/office/drawing/2015/06/chart">
            <c:ext xmlns:c16="http://schemas.microsoft.com/office/drawing/2014/chart" uri="{C3380CC4-5D6E-409C-BE32-E72D297353CC}">
              <c16:uniqueId val="{00000001-3657-4BB8-9AC9-318DE51511B2}"/>
            </c:ext>
          </c:extLst>
        </c:ser>
        <c:ser>
          <c:idx val="0"/>
          <c:order val="2"/>
          <c:tx>
            <c:strRef>
              <c:f>Sheet1!$A$5</c:f>
              <c:strCache>
                <c:ptCount val="1"/>
                <c:pt idx="0">
                  <c:v>Illicit opium production</c:v>
                </c:pt>
              </c:strCache>
            </c:strRef>
          </c:tx>
          <c:spPr>
            <a:solidFill>
              <a:srgbClr val="FF0000"/>
            </a:solidFill>
            <a:ln w="25400">
              <a:noFill/>
            </a:ln>
          </c:spPr>
          <c:dLbls>
            <c:spPr>
              <a:noFill/>
              <a:ln>
                <a:noFill/>
              </a:ln>
              <a:effectLst/>
            </c:spPr>
            <c:txPr>
              <a:bodyPr rot="-5400000" vert="horz" wrap="square" lIns="38100" tIns="19050" rIns="38100" bIns="19050" anchor="ctr">
                <a:spAutoFit/>
              </a:bodyPr>
              <a:lstStyle/>
              <a:p>
                <a:pPr>
                  <a:defRPr sz="600"/>
                </a:pPr>
                <a:endParaRPr lang="zh-CN"/>
              </a:p>
            </c:txPr>
            <c:showVal val="1"/>
            <c:extLst xmlns:c16r2="http://schemas.microsoft.com/office/drawing/2015/06/chart">
              <c:ext xmlns:c15="http://schemas.microsoft.com/office/drawing/2012/chart" uri="{CE6537A1-D6FC-4f65-9D91-7224C49458BB}">
                <c15:showLeaderLines val="1"/>
              </c:ext>
            </c:extLst>
          </c:dLbls>
          <c:cat>
            <c:strRef>
              <c:f>Sheet1!$B$3:$AX$3</c:f>
              <c:strCache>
                <c:ptCount val="49"/>
                <c:pt idx="0">
                  <c:v>1906/07</c:v>
                </c:pt>
                <c:pt idx="2">
                  <c:v>1909</c:v>
                </c:pt>
                <c:pt idx="4">
                  <c:v>1934</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pt idx="48">
                  <c:v>2022</c:v>
                </c:pt>
              </c:strCache>
            </c:strRef>
          </c:cat>
          <c:val>
            <c:numRef>
              <c:f>Sheet1!$B$5:$AX$5</c:f>
              <c:numCache>
                <c:formatCode>General</c:formatCode>
                <c:ptCount val="49"/>
                <c:pt idx="4" formatCode="_-* #,##0_-;\-* #,##0_-;_-* &quot;-&quot;??_-;_-@_-">
                  <c:v>7200</c:v>
                </c:pt>
                <c:pt idx="6">
                  <c:v>1040</c:v>
                </c:pt>
                <c:pt idx="7">
                  <c:v>1490</c:v>
                </c:pt>
                <c:pt idx="8">
                  <c:v>1560</c:v>
                </c:pt>
                <c:pt idx="9">
                  <c:v>1730</c:v>
                </c:pt>
                <c:pt idx="10">
                  <c:v>1540</c:v>
                </c:pt>
                <c:pt idx="11">
                  <c:v>1460</c:v>
                </c:pt>
                <c:pt idx="12">
                  <c:v>2320</c:v>
                </c:pt>
                <c:pt idx="13">
                  <c:v>2620</c:v>
                </c:pt>
                <c:pt idx="14">
                  <c:v>2790</c:v>
                </c:pt>
                <c:pt idx="15">
                  <c:v>3400</c:v>
                </c:pt>
                <c:pt idx="16">
                  <c:v>3760</c:v>
                </c:pt>
                <c:pt idx="17">
                  <c:v>4270</c:v>
                </c:pt>
                <c:pt idx="18">
                  <c:v>4140</c:v>
                </c:pt>
                <c:pt idx="19">
                  <c:v>4610</c:v>
                </c:pt>
                <c:pt idx="20">
                  <c:v>5620</c:v>
                </c:pt>
                <c:pt idx="21">
                  <c:v>4450</c:v>
                </c:pt>
                <c:pt idx="22" formatCode="_(* #,##0_);_(* \(#,##0\);_(* &quot;-&quot;??_);_(@_)">
                  <c:v>4360</c:v>
                </c:pt>
                <c:pt idx="23" formatCode="_(* #,##0_);_(* \(#,##0\);_(* &quot;-&quot;??_);_(@_)">
                  <c:v>4820</c:v>
                </c:pt>
                <c:pt idx="24" formatCode="_(* #,##0_);_(* \(#,##0\);_(* &quot;-&quot;??_);_(@_)">
                  <c:v>4350</c:v>
                </c:pt>
                <c:pt idx="25" formatCode="_(* #,##0_);_(* \(#,##0\);_(* &quot;-&quot;??_);_(@_)">
                  <c:v>5760</c:v>
                </c:pt>
                <c:pt idx="26" formatCode="_(* #,##0_);_(* \(#,##0\);_(* &quot;-&quot;??_);_(@_)">
                  <c:v>4690</c:v>
                </c:pt>
                <c:pt idx="27" formatCode="_(* #,##0_);_(* \(#,##0\);_(* &quot;-&quot;??_);_(@_)">
                  <c:v>1630</c:v>
                </c:pt>
                <c:pt idx="28" formatCode="_(* #,##0_);_(* \(#,##0\);_(* &quot;-&quot;??_);_(@_)">
                  <c:v>4520</c:v>
                </c:pt>
                <c:pt idx="29" formatCode="_(* #,##0_);_(* \(#,##0\);_(* &quot;-&quot;??_);_(@_)">
                  <c:v>4780</c:v>
                </c:pt>
                <c:pt idx="30" formatCode="_(* #,##0_);_(* \(#,##0\);_(* &quot;-&quot;??_);_(@_)">
                  <c:v>4850</c:v>
                </c:pt>
                <c:pt idx="31" formatCode="_(* #,##0_);_(* \(#,##0\);_(* &quot;-&quot;??_);_(@_)">
                  <c:v>4620</c:v>
                </c:pt>
                <c:pt idx="32" formatCode="_(* #,##0_);_(* \(#,##0\);_(* &quot;-&quot;??_);_(@_)">
                  <c:v>5810</c:v>
                </c:pt>
                <c:pt idx="33" formatCode="_(* #,##0_);_(* \(#,##0\);_(* &quot;-&quot;??_);_(@_)">
                  <c:v>8090</c:v>
                </c:pt>
                <c:pt idx="34" formatCode="_(* #,##0_);_(* \(#,##0\);_(* &quot;-&quot;??_);_(@_)">
                  <c:v>6840</c:v>
                </c:pt>
                <c:pt idx="35" formatCode="_(* #,##0_);_(* \(#,##0\);_(* &quot;-&quot;??_);_(@_)">
                  <c:v>4950</c:v>
                </c:pt>
                <c:pt idx="36" formatCode="_(* #,##0_);_(* \(#,##0\);_(* &quot;-&quot;??_);_(@_)">
                  <c:v>4730</c:v>
                </c:pt>
                <c:pt idx="37" formatCode="_(* #,##0_);_(* \(#,##0\);_(* &quot;-&quot;??_);_(@_)">
                  <c:v>6980</c:v>
                </c:pt>
                <c:pt idx="38" formatCode="_(* #,##0_);_(* \(#,##0\);_(* &quot;-&quot;??_);_(@_)">
                  <c:v>4830</c:v>
                </c:pt>
                <c:pt idx="39" formatCode="_(* #,##0_);_(* \(#,##0\);_(* &quot;-&quot;??_);_(@_)">
                  <c:v>6810</c:v>
                </c:pt>
                <c:pt idx="40" formatCode="_(* #,##0_);_(* \(#,##0\);_(* &quot;-&quot;??_);_(@_)">
                  <c:v>7740</c:v>
                </c:pt>
                <c:pt idx="41" formatCode="_(* #,##0_);_(* \(#,##0\);_(* &quot;-&quot;??_);_(@_)">
                  <c:v>4660</c:v>
                </c:pt>
                <c:pt idx="42" formatCode="_(* #,##0_);_(* \(#,##0\);_(* &quot;-&quot;??_);_(@_)">
                  <c:v>5980</c:v>
                </c:pt>
                <c:pt idx="43" formatCode="_(* #,##0_);_(* \(#,##0\);_(* &quot;-&quot;??_);_(@_)">
                  <c:v>10240</c:v>
                </c:pt>
                <c:pt idx="44" formatCode="_(* #,##0_);_(* \(#,##0\);_(* &quot;-&quot;??_);_(@_)">
                  <c:v>7600</c:v>
                </c:pt>
                <c:pt idx="45" formatCode="_(* #,##0_);_(* \(#,##0\);_(* &quot;-&quot;??_);_(@_)">
                  <c:v>7590</c:v>
                </c:pt>
                <c:pt idx="46" formatCode="_(* #,##0_);_(* \(#,##0\);_(* &quot;-&quot;??_);_(@_)">
                  <c:v>7480</c:v>
                </c:pt>
                <c:pt idx="47" formatCode="_(* #,##0_);_(* \(#,##0\);_(* &quot;-&quot;??_);_(@_)">
                  <c:v>8030</c:v>
                </c:pt>
                <c:pt idx="48" formatCode="_(* #,##0_);_(* \(#,##0\);_(* &quot;-&quot;??_);_(@_)">
                  <c:v>7800</c:v>
                </c:pt>
              </c:numCache>
            </c:numRef>
          </c:val>
          <c:extLst xmlns:c16r2="http://schemas.microsoft.com/office/drawing/2015/06/chart">
            <c:ext xmlns:c16="http://schemas.microsoft.com/office/drawing/2014/chart" uri="{C3380CC4-5D6E-409C-BE32-E72D297353CC}">
              <c16:uniqueId val="{00000002-3657-4BB8-9AC9-318DE51511B2}"/>
            </c:ext>
          </c:extLst>
        </c:ser>
        <c:gapWidth val="10"/>
        <c:overlap val="100"/>
        <c:axId val="37205120"/>
        <c:axId val="37206656"/>
      </c:barChart>
      <c:lineChart>
        <c:grouping val="standard"/>
        <c:ser>
          <c:idx val="3"/>
          <c:order val="3"/>
          <c:tx>
            <c:strRef>
              <c:f>Sheet1!$A$28</c:f>
              <c:strCache>
                <c:ptCount val="1"/>
                <c:pt idx="0">
                  <c:v>TOTAL</c:v>
                </c:pt>
              </c:strCache>
            </c:strRef>
          </c:tx>
          <c:spPr>
            <a:ln>
              <a:noFill/>
            </a:ln>
          </c:spPr>
          <c:marker>
            <c:symbol val="triangle"/>
            <c:size val="7"/>
          </c:marker>
          <c:dLbls>
            <c:dLbl>
              <c:idx val="0"/>
              <c:layout>
                <c:manualLayout>
                  <c:x val="-2.7127039786934763E-2"/>
                  <c:y val="-2.161602007386651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657-4BB8-9AC9-318DE51511B2}"/>
                </c:ext>
              </c:extLst>
            </c:dLbl>
            <c:dLbl>
              <c:idx val="2"/>
              <c:layout>
                <c:manualLayout>
                  <c:x val="-3.2593120549999639E-2"/>
                  <c:y val="-3.100817857146389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657-4BB8-9AC9-318DE51511B2}"/>
                </c:ext>
              </c:extLst>
            </c:dLbl>
            <c:dLbl>
              <c:idx val="4"/>
              <c:layout>
                <c:manualLayout>
                  <c:x val="-4.2158815685370665E-2"/>
                  <c:y val="-5.193485582906168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657-4BB8-9AC9-318DE51511B2}"/>
                </c:ext>
              </c:extLst>
            </c:dLbl>
            <c:dLbl>
              <c:idx val="4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657-4BB8-9AC9-318DE51511B2}"/>
                </c:ext>
              </c:extLst>
            </c:dLbl>
            <c:dLbl>
              <c:idx val="46"/>
              <c:layout>
                <c:manualLayout>
                  <c:x val="-1.2372280127170503E-2"/>
                  <c:y val="-3.5589490220943786E-2"/>
                </c:manualLayout>
              </c:layout>
              <c:tx>
                <c:rich>
                  <a:bodyPr/>
                  <a:lstStyle/>
                  <a:p>
                    <a:r>
                      <a:rPr lang="en-US"/>
                      <a:t>11,700</a:t>
                    </a:r>
                  </a:p>
                </c:rich>
              </c:tx>
              <c:dLblPos val="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3657-4BB8-9AC9-318DE51511B2}"/>
                </c:ext>
              </c:extLst>
            </c:dLbl>
            <c:delete val="1"/>
            <c:spPr>
              <a:noFill/>
              <a:ln>
                <a:noFill/>
              </a:ln>
              <a:effectLst/>
            </c:spPr>
            <c:txPr>
              <a:bodyPr wrap="square" lIns="38100" tIns="19050" rIns="38100" bIns="19050" anchor="ctr">
                <a:spAutoFit/>
              </a:bodyPr>
              <a:lstStyle/>
              <a:p>
                <a:pPr>
                  <a:defRPr sz="1400"/>
                </a:pPr>
                <a:endParaRPr lang="zh-CN"/>
              </a:p>
            </c:txPr>
            <c:dLblPos val="t"/>
            <c:extLst xmlns:c16r2="http://schemas.microsoft.com/office/drawing/2015/06/chart">
              <c:ext xmlns:c15="http://schemas.microsoft.com/office/drawing/2012/chart" uri="{CE6537A1-D6FC-4f65-9D91-7224C49458BB}">
                <c15:showLeaderLines val="0"/>
              </c:ext>
            </c:extLst>
          </c:dLbls>
          <c:val>
            <c:numRef>
              <c:f>Sheet1!$B$28:$AX$28</c:f>
              <c:numCache>
                <c:formatCode>General</c:formatCode>
                <c:ptCount val="49"/>
                <c:pt idx="0" formatCode="_-* #,##0_-;\-* #,##0_-;_-* &quot;-&quot;??_-;_-@_-">
                  <c:v>41600</c:v>
                </c:pt>
                <c:pt idx="2" formatCode="_-* #,##0_-;\-* #,##0_-;_-* &quot;-&quot;??_-;_-@_-">
                  <c:v>30000</c:v>
                </c:pt>
                <c:pt idx="4" formatCode="_-* #,##0_-;\-* #,##0_-;_-* &quot;-&quot;??_-;_-@_-">
                  <c:v>16600</c:v>
                </c:pt>
                <c:pt idx="6" formatCode="_-* #,##0_-;\-* #,##0_-;_-* &quot;-&quot;??_-;_-@_-">
                  <c:v>3600</c:v>
                </c:pt>
                <c:pt idx="7" formatCode="_-* #,##0_-;\-* #,##0_-;_-* &quot;-&quot;??_-;_-@_-">
                  <c:v>3900</c:v>
                </c:pt>
                <c:pt idx="8" formatCode="_-* #,##0_-;\-* #,##0_-;_-* &quot;-&quot;??_-;_-@_-">
                  <c:v>3600</c:v>
                </c:pt>
                <c:pt idx="9" formatCode="_-* #,##0_-;\-* #,##0_-;_-* &quot;-&quot;??_-;_-@_-">
                  <c:v>3800</c:v>
                </c:pt>
                <c:pt idx="10" formatCode="_-* #,##0_-;\-* #,##0_-;_-* &quot;-&quot;??_-;_-@_-">
                  <c:v>3600</c:v>
                </c:pt>
                <c:pt idx="11" formatCode="_-* #,##0_-;\-* #,##0_-;_-* &quot;-&quot;??_-;_-@_-">
                  <c:v>3400</c:v>
                </c:pt>
                <c:pt idx="12" formatCode="_-* #,##0_-;\-* #,##0_-;_-* &quot;-&quot;??_-;_-@_-">
                  <c:v>3900</c:v>
                </c:pt>
                <c:pt idx="13" formatCode="_-* #,##0_-;\-* #,##0_-;_-* &quot;-&quot;??_-;_-@_-">
                  <c:v>4100</c:v>
                </c:pt>
                <c:pt idx="14" formatCode="_-* #,##0_-;\-* #,##0_-;_-* &quot;-&quot;??_-;_-@_-">
                  <c:v>4700</c:v>
                </c:pt>
                <c:pt idx="15" formatCode="_-* #,##0_-;\-* #,##0_-;_-* &quot;-&quot;??_-;_-@_-">
                  <c:v>5100</c:v>
                </c:pt>
                <c:pt idx="16" formatCode="_-* #,##0_-;\-* #,##0_-;_-* &quot;-&quot;??_-;_-@_-">
                  <c:v>5500</c:v>
                </c:pt>
                <c:pt idx="17" formatCode="_-* #,##0_-;\-* #,##0_-;_-* &quot;-&quot;??_-;_-@_-">
                  <c:v>7600</c:v>
                </c:pt>
                <c:pt idx="18" formatCode="_-* #,##0_-;\-* #,##0_-;_-* &quot;-&quot;??_-;_-@_-">
                  <c:v>6500</c:v>
                </c:pt>
                <c:pt idx="19" formatCode="_-* #,##0_-;\-* #,##0_-;_-* &quot;-&quot;??_-;_-@_-">
                  <c:v>6000</c:v>
                </c:pt>
                <c:pt idx="20" formatCode="_-* #,##0_-;\-* #,##0_-;_-* &quot;-&quot;??_-;_-@_-">
                  <c:v>8100</c:v>
                </c:pt>
                <c:pt idx="21" formatCode="_-* #,##0_-;\-* #,##0_-;_-* &quot;-&quot;??_-;_-@_-">
                  <c:v>8600</c:v>
                </c:pt>
                <c:pt idx="22" formatCode="_-* #,##0_-;\-* #,##0_-;_-* &quot;-&quot;??_-;_-@_-">
                  <c:v>6600</c:v>
                </c:pt>
                <c:pt idx="23" formatCode="_-* #,##0_-;\-* #,##0_-;_-* &quot;-&quot;??_-;_-@_-">
                  <c:v>7900</c:v>
                </c:pt>
                <c:pt idx="24" formatCode="_-* #,##0_-;\-* #,##0_-;_-* &quot;-&quot;??_-;_-@_-">
                  <c:v>8400</c:v>
                </c:pt>
                <c:pt idx="25" formatCode="_-* #,##0_-;\-* #,##0_-;_-* &quot;-&quot;??_-;_-@_-">
                  <c:v>11100</c:v>
                </c:pt>
                <c:pt idx="26" formatCode="_-* #,##0_-;\-* #,##0_-;_-* &quot;-&quot;??_-;_-@_-">
                  <c:v>9000</c:v>
                </c:pt>
                <c:pt idx="27" formatCode="_-* #,##0_-;\-* #,##0_-;_-* &quot;-&quot;??_-;_-@_-">
                  <c:v>5700</c:v>
                </c:pt>
                <c:pt idx="28" formatCode="_-* #,##0_-;\-* #,##0_-;_-* &quot;-&quot;??_-;_-@_-">
                  <c:v>9500</c:v>
                </c:pt>
                <c:pt idx="29" formatCode="_-* #,##0_-;\-* #,##0_-;_-* &quot;-&quot;??_-;_-@_-">
                  <c:v>11300</c:v>
                </c:pt>
                <c:pt idx="30" formatCode="_-* #,##0_-;\-* #,##0_-;_-* &quot;-&quot;??_-;_-@_-">
                  <c:v>9500</c:v>
                </c:pt>
                <c:pt idx="31" formatCode="_-* #,##0_-;\-* #,##0_-;_-* &quot;-&quot;??_-;_-@_-">
                  <c:v>8100</c:v>
                </c:pt>
                <c:pt idx="32" formatCode="_-* #,##0_-;\-* #,##0_-;_-* &quot;-&quot;??_-;_-@_-">
                  <c:v>9500</c:v>
                </c:pt>
                <c:pt idx="33" formatCode="_-* #,##0_-;\-* #,##0_-;_-* &quot;-&quot;??_-;_-@_-">
                  <c:v>10400</c:v>
                </c:pt>
                <c:pt idx="34" formatCode="_-* #,##0_-;\-* #,##0_-;_-* &quot;-&quot;??_-;_-@_-">
                  <c:v>8900</c:v>
                </c:pt>
                <c:pt idx="35" formatCode="_-* #,##0_-;\-* #,##0_-;_-* &quot;-&quot;??_-;_-@_-">
                  <c:v>8200</c:v>
                </c:pt>
                <c:pt idx="36" formatCode="_-* #,##0_-;\-* #,##0_-;_-* &quot;-&quot;??_-;_-@_-">
                  <c:v>8800</c:v>
                </c:pt>
                <c:pt idx="37" formatCode="_-* #,##0_-;\-* #,##0_-;_-* &quot;-&quot;??_-;_-@_-">
                  <c:v>12600</c:v>
                </c:pt>
                <c:pt idx="38" formatCode="_-* #,##0_-;\-* #,##0_-;_-* &quot;-&quot;??_-;_-@_-">
                  <c:v>7900</c:v>
                </c:pt>
                <c:pt idx="39" formatCode="_-* #,##0_-;\-* #,##0_-;_-* &quot;-&quot;??_-;_-@_-">
                  <c:v>10600</c:v>
                </c:pt>
                <c:pt idx="40" formatCode="_-* #,##0_-;\-* #,##0_-;_-* &quot;-&quot;??_-;_-@_-">
                  <c:v>11900</c:v>
                </c:pt>
                <c:pt idx="41" formatCode="_-* #,##0_-;\-* #,##0_-;_-* &quot;-&quot;??_-;_-@_-">
                  <c:v>9200</c:v>
                </c:pt>
                <c:pt idx="42" formatCode="_-* #,##0_-;\-* #,##0_-;_-* &quot;-&quot;??_-;_-@_-">
                  <c:v>8600</c:v>
                </c:pt>
                <c:pt idx="43" formatCode="_-* #,##0_-;\-* #,##0_-;_-* &quot;-&quot;??_-;_-@_-">
                  <c:v>12900</c:v>
                </c:pt>
                <c:pt idx="44" formatCode="_-* #,##0_-;\-* #,##0_-;_-* &quot;-&quot;??_-;_-@_-">
                  <c:v>11900</c:v>
                </c:pt>
                <c:pt idx="45" formatCode="_-* #,##0_-;\-* #,##0_-;_-* &quot;-&quot;??_-;_-@_-">
                  <c:v>13400</c:v>
                </c:pt>
                <c:pt idx="46" formatCode="_-* #,##0_-;\-* #,##0_-;_-* &quot;-&quot;??_-;_-@_-">
                  <c:v>11600</c:v>
                </c:pt>
                <c:pt idx="47" formatCode="_-* #,##0_-;\-* #,##0_-;_-* &quot;-&quot;??_-;_-@_-">
                  <c:v>10600</c:v>
                </c:pt>
                <c:pt idx="48" formatCode="_-* #,##0_-;\-* #,##0_-;_-* &quot;-&quot;??_-;_-@_-">
                  <c:v>11700</c:v>
                </c:pt>
              </c:numCache>
            </c:numRef>
          </c:val>
          <c:extLst xmlns:c16r2="http://schemas.microsoft.com/office/drawing/2015/06/chart">
            <c:ext xmlns:c16="http://schemas.microsoft.com/office/drawing/2014/chart" uri="{C3380CC4-5D6E-409C-BE32-E72D297353CC}">
              <c16:uniqueId val="{00000008-3657-4BB8-9AC9-318DE51511B2}"/>
            </c:ext>
          </c:extLst>
        </c:ser>
        <c:marker val="1"/>
        <c:axId val="37205120"/>
        <c:axId val="37206656"/>
      </c:lineChart>
      <c:catAx>
        <c:axId val="37205120"/>
        <c:scaling>
          <c:orientation val="minMax"/>
        </c:scaling>
        <c:axPos val="b"/>
        <c:numFmt formatCode="General" sourceLinked="1"/>
        <c:tickLblPos val="nextTo"/>
        <c:spPr>
          <a:ln w="9525">
            <a:noFill/>
          </a:ln>
        </c:spPr>
        <c:txPr>
          <a:bodyPr rot="-5400000" vert="horz"/>
          <a:lstStyle/>
          <a:p>
            <a:pPr>
              <a:defRPr sz="1175" b="0" i="0" u="none" strike="noStrike" baseline="0">
                <a:solidFill>
                  <a:srgbClr val="000000"/>
                </a:solidFill>
                <a:latin typeface="Frutiger 45"/>
                <a:ea typeface="Frutiger 45"/>
                <a:cs typeface="Frutiger 45"/>
              </a:defRPr>
            </a:pPr>
            <a:endParaRPr lang="zh-CN"/>
          </a:p>
        </c:txPr>
        <c:crossAx val="37206656"/>
        <c:crosses val="autoZero"/>
        <c:auto val="1"/>
        <c:lblAlgn val="ctr"/>
        <c:lblOffset val="100"/>
        <c:tickLblSkip val="2"/>
        <c:tickMarkSkip val="1"/>
      </c:catAx>
      <c:valAx>
        <c:axId val="37206656"/>
        <c:scaling>
          <c:orientation val="minMax"/>
        </c:scaling>
        <c:axPos val="l"/>
        <c:majorGridlines>
          <c:spPr>
            <a:ln w="12700">
              <a:solidFill>
                <a:srgbClr val="FFFFFF"/>
              </a:solidFill>
              <a:prstDash val="solid"/>
            </a:ln>
          </c:spPr>
        </c:majorGridlines>
        <c:title>
          <c:tx>
            <c:rich>
              <a:bodyPr/>
              <a:lstStyle/>
              <a:p>
                <a:pPr>
                  <a:defRPr sz="1200" b="1" i="0" u="none" strike="noStrike" baseline="0">
                    <a:solidFill>
                      <a:srgbClr val="000000"/>
                    </a:solidFill>
                    <a:latin typeface="Frutiger 45"/>
                    <a:ea typeface="Frutiger 45"/>
                    <a:cs typeface="Frutiger 45"/>
                  </a:defRPr>
                </a:pPr>
                <a:r>
                  <a:rPr lang="en-GB"/>
                  <a:t>Tons</a:t>
                </a:r>
              </a:p>
            </c:rich>
          </c:tx>
          <c:layout>
            <c:manualLayout>
              <c:xMode val="edge"/>
              <c:yMode val="edge"/>
              <c:x val="8.6412588651399187E-3"/>
              <c:y val="0.35513254325897664"/>
            </c:manualLayout>
          </c:layout>
          <c:spPr>
            <a:noFill/>
            <a:ln w="25400">
              <a:noFill/>
            </a:ln>
          </c:spPr>
        </c:title>
        <c:numFmt formatCode="#,##0" sourceLinked="0"/>
        <c:tickLblPos val="nextTo"/>
        <c:spPr>
          <a:ln w="9525">
            <a:noFill/>
          </a:ln>
        </c:spPr>
        <c:txPr>
          <a:bodyPr rot="0" vert="horz"/>
          <a:lstStyle/>
          <a:p>
            <a:pPr>
              <a:defRPr sz="1200" b="0" i="0" u="none" strike="noStrike" baseline="0">
                <a:solidFill>
                  <a:srgbClr val="000000"/>
                </a:solidFill>
                <a:latin typeface="Frutiger 45"/>
                <a:ea typeface="Frutiger 45"/>
                <a:cs typeface="Frutiger 45"/>
              </a:defRPr>
            </a:pPr>
            <a:endParaRPr lang="zh-CN"/>
          </a:p>
        </c:txPr>
        <c:crossAx val="37205120"/>
        <c:crosses val="autoZero"/>
        <c:crossBetween val="between"/>
      </c:valAx>
      <c:spPr>
        <a:solidFill>
          <a:srgbClr val="DAEAEC"/>
        </a:solidFill>
        <a:ln w="25400">
          <a:noFill/>
        </a:ln>
      </c:spPr>
    </c:plotArea>
    <c:legend>
      <c:legendPos val="r"/>
      <c:layout>
        <c:manualLayout>
          <c:xMode val="edge"/>
          <c:yMode val="edge"/>
          <c:x val="8.1991211445973114E-2"/>
          <c:y val="0.8429901300568815"/>
          <c:w val="0.91398201939188994"/>
          <c:h val="0.15700986994311897"/>
        </c:manualLayout>
      </c:layout>
      <c:spPr>
        <a:noFill/>
        <a:ln w="25400">
          <a:noFill/>
        </a:ln>
      </c:spPr>
      <c:txPr>
        <a:bodyPr/>
        <a:lstStyle/>
        <a:p>
          <a:pPr>
            <a:defRPr sz="1400" b="1" i="0" u="none" strike="noStrike" baseline="0">
              <a:solidFill>
                <a:srgbClr val="000000"/>
              </a:solidFill>
              <a:latin typeface="Frutiger 45"/>
              <a:ea typeface="Frutiger 45"/>
              <a:cs typeface="Frutiger 45"/>
            </a:defRPr>
          </a:pPr>
          <a:endParaRPr lang="zh-CN"/>
        </a:p>
      </c:txPr>
    </c:legend>
    <c:plotVisOnly val="1"/>
    <c:dispBlanksAs val="gap"/>
  </c:chart>
  <c:spPr>
    <a:solidFill>
      <a:srgbClr val="FFFFFF"/>
    </a:solidFill>
    <a:ln w="3175">
      <a:solidFill>
        <a:srgbClr val="000000"/>
      </a:solidFill>
      <a:prstDash val="solid"/>
    </a:ln>
  </c:spPr>
  <c:txPr>
    <a:bodyPr/>
    <a:lstStyle/>
    <a:p>
      <a:pPr>
        <a:defRPr sz="925" b="0" i="0" u="none" strike="noStrike" baseline="0">
          <a:solidFill>
            <a:srgbClr val="000000"/>
          </a:solidFill>
          <a:latin typeface="Frutiger 45"/>
          <a:ea typeface="Frutiger 45"/>
          <a:cs typeface="Frutiger 45"/>
        </a:defRPr>
      </a:pPr>
      <a:endParaRPr lang="zh-CN"/>
    </a:p>
  </c:tx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lang val="zh-CN"/>
  <c:clrMapOvr bg1="lt1" tx1="dk1" bg2="lt2" tx2="dk2" accent1="accent1" accent2="accent2" accent3="accent3" accent4="accent4" accent5="accent5" accent6="accent6" hlink="hlink" folHlink="folHlink"/>
  <c:chart>
    <c:autoTitleDeleted val="1"/>
    <c:plotArea>
      <c:layout/>
      <c:areaChart>
        <c:grouping val="standard"/>
        <c:ser>
          <c:idx val="0"/>
          <c:order val="0"/>
          <c:tx>
            <c:strRef>
              <c:f>'Figure A'!$A$37</c:f>
              <c:strCache>
                <c:ptCount val="1"/>
                <c:pt idx="0">
                  <c:v>Opium production</c:v>
                </c:pt>
              </c:strCache>
            </c:strRef>
          </c:tx>
          <c:spPr>
            <a:solidFill>
              <a:srgbClr val="92D050"/>
            </a:solidFill>
            <a:ln>
              <a:noFill/>
            </a:ln>
            <a:effectLst/>
          </c:spPr>
          <c:trendline>
            <c:name>Opium production  trend</c:name>
            <c:spPr>
              <a:ln w="19050" cap="rnd">
                <a:solidFill>
                  <a:schemeClr val="bg1">
                    <a:lumMod val="75000"/>
                  </a:schemeClr>
                </a:solidFill>
                <a:prstDash val="dash"/>
              </a:ln>
              <a:effectLst/>
            </c:spPr>
            <c:trendlineType val="linear"/>
          </c:trendline>
          <c:cat>
            <c:numRef>
              <c:f>'Figure A'!$C$36:$AA$36</c:f>
              <c:numCache>
                <c:formatCode>General</c:formatCode>
                <c:ptCount val="2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pt idx="23">
                  <c:v>2021</c:v>
                </c:pt>
                <c:pt idx="24">
                  <c:v>2022</c:v>
                </c:pt>
              </c:numCache>
            </c:numRef>
          </c:cat>
          <c:val>
            <c:numRef>
              <c:f>'Figure A'!$C$37:$AA$37</c:f>
              <c:numCache>
                <c:formatCode>_-* #,##0_-;\-* #,##0_-;_-* "-"??_-;_-@_-</c:formatCode>
                <c:ptCount val="25"/>
                <c:pt idx="0">
                  <c:v>4350</c:v>
                </c:pt>
                <c:pt idx="1">
                  <c:v>5760</c:v>
                </c:pt>
                <c:pt idx="2">
                  <c:v>4690</c:v>
                </c:pt>
                <c:pt idx="3">
                  <c:v>1630</c:v>
                </c:pt>
                <c:pt idx="4">
                  <c:v>4520</c:v>
                </c:pt>
                <c:pt idx="5">
                  <c:v>4780</c:v>
                </c:pt>
                <c:pt idx="6">
                  <c:v>4850</c:v>
                </c:pt>
                <c:pt idx="7">
                  <c:v>4620</c:v>
                </c:pt>
                <c:pt idx="8">
                  <c:v>5810</c:v>
                </c:pt>
                <c:pt idx="9">
                  <c:v>8090</c:v>
                </c:pt>
                <c:pt idx="10">
                  <c:v>6840</c:v>
                </c:pt>
                <c:pt idx="11">
                  <c:v>4950</c:v>
                </c:pt>
                <c:pt idx="12">
                  <c:v>4730</c:v>
                </c:pt>
                <c:pt idx="13">
                  <c:v>6980</c:v>
                </c:pt>
                <c:pt idx="14">
                  <c:v>4830</c:v>
                </c:pt>
                <c:pt idx="15">
                  <c:v>6810</c:v>
                </c:pt>
                <c:pt idx="16">
                  <c:v>7740</c:v>
                </c:pt>
                <c:pt idx="17">
                  <c:v>4660</c:v>
                </c:pt>
                <c:pt idx="18">
                  <c:v>5980</c:v>
                </c:pt>
                <c:pt idx="19">
                  <c:v>10240</c:v>
                </c:pt>
                <c:pt idx="20">
                  <c:v>7600</c:v>
                </c:pt>
                <c:pt idx="21">
                  <c:v>7600</c:v>
                </c:pt>
                <c:pt idx="22">
                  <c:v>7480</c:v>
                </c:pt>
                <c:pt idx="23">
                  <c:v>8030</c:v>
                </c:pt>
                <c:pt idx="24">
                  <c:v>7800</c:v>
                </c:pt>
              </c:numCache>
            </c:numRef>
          </c:val>
          <c:extLst xmlns:c16r2="http://schemas.microsoft.com/office/drawing/2015/06/chart">
            <c:ext xmlns:c16="http://schemas.microsoft.com/office/drawing/2014/chart" uri="{C3380CC4-5D6E-409C-BE32-E72D297353CC}">
              <c16:uniqueId val="{00000001-D09A-4873-B30C-BD6E63834AA0}"/>
            </c:ext>
          </c:extLst>
        </c:ser>
        <c:axId val="37377152"/>
        <c:axId val="37378688"/>
      </c:areaChart>
      <c:lineChart>
        <c:grouping val="standard"/>
        <c:ser>
          <c:idx val="2"/>
          <c:order val="1"/>
          <c:tx>
            <c:strRef>
              <c:f>'Figure A'!$A$39</c:f>
              <c:strCache>
                <c:ptCount val="1"/>
                <c:pt idx="0">
                  <c:v>Seizures of heroin (in opium equivalents)</c:v>
                </c:pt>
              </c:strCache>
            </c:strRef>
          </c:tx>
          <c:spPr>
            <a:ln w="28575" cap="rnd">
              <a:solidFill>
                <a:srgbClr val="C00000"/>
              </a:solidFill>
              <a:round/>
            </a:ln>
            <a:effectLst/>
          </c:spPr>
          <c:marker>
            <c:symbol val="none"/>
          </c:marker>
          <c:trendline>
            <c:name>Heroin seizures trend</c:name>
            <c:spPr>
              <a:ln w="19050" cap="rnd">
                <a:solidFill>
                  <a:srgbClr val="C00000"/>
                </a:solidFill>
                <a:prstDash val="dash"/>
              </a:ln>
              <a:effectLst/>
            </c:spPr>
            <c:trendlineType val="linear"/>
          </c:trendline>
          <c:cat>
            <c:numRef>
              <c:f>'Figure A'!$C$36:$V$36</c:f>
              <c:numCache>
                <c:formatCode>General</c:formatCode>
                <c:ptCount val="20"/>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numCache>
            </c:numRef>
          </c:cat>
          <c:val>
            <c:numRef>
              <c:f>'Figure A'!$C$39:$Z$39</c:f>
              <c:numCache>
                <c:formatCode>#,##0,</c:formatCode>
                <c:ptCount val="24"/>
                <c:pt idx="0">
                  <c:v>324480</c:v>
                </c:pt>
                <c:pt idx="1">
                  <c:v>363380</c:v>
                </c:pt>
                <c:pt idx="2">
                  <c:v>541280</c:v>
                </c:pt>
                <c:pt idx="3">
                  <c:v>548230</c:v>
                </c:pt>
                <c:pt idx="4">
                  <c:v>487700</c:v>
                </c:pt>
                <c:pt idx="5">
                  <c:v>539940</c:v>
                </c:pt>
                <c:pt idx="6">
                  <c:v>610420</c:v>
                </c:pt>
                <c:pt idx="7">
                  <c:v>587250</c:v>
                </c:pt>
                <c:pt idx="8">
                  <c:v>564900</c:v>
                </c:pt>
                <c:pt idx="9">
                  <c:v>649130</c:v>
                </c:pt>
                <c:pt idx="10">
                  <c:v>739610</c:v>
                </c:pt>
                <c:pt idx="11">
                  <c:v>762550</c:v>
                </c:pt>
                <c:pt idx="12">
                  <c:v>775280</c:v>
                </c:pt>
                <c:pt idx="13">
                  <c:v>772690</c:v>
                </c:pt>
                <c:pt idx="14">
                  <c:v>714840</c:v>
                </c:pt>
                <c:pt idx="15">
                  <c:v>766880</c:v>
                </c:pt>
                <c:pt idx="16">
                  <c:v>853500</c:v>
                </c:pt>
                <c:pt idx="17">
                  <c:v>844760</c:v>
                </c:pt>
                <c:pt idx="18">
                  <c:v>912880</c:v>
                </c:pt>
                <c:pt idx="19">
                  <c:v>1022760</c:v>
                </c:pt>
                <c:pt idx="20">
                  <c:v>952890</c:v>
                </c:pt>
                <c:pt idx="21">
                  <c:v>979970</c:v>
                </c:pt>
                <c:pt idx="22">
                  <c:v>1133602.1832311002</c:v>
                </c:pt>
                <c:pt idx="23">
                  <c:v>1118040.632644285</c:v>
                </c:pt>
              </c:numCache>
            </c:numRef>
          </c:val>
          <c:extLst xmlns:c16r2="http://schemas.microsoft.com/office/drawing/2015/06/chart">
            <c:ext xmlns:c16="http://schemas.microsoft.com/office/drawing/2014/chart" uri="{C3380CC4-5D6E-409C-BE32-E72D297353CC}">
              <c16:uniqueId val="{00000003-D09A-4873-B30C-BD6E63834AA0}"/>
            </c:ext>
          </c:extLst>
        </c:ser>
        <c:marker val="1"/>
        <c:axId val="37399168"/>
        <c:axId val="37397248"/>
      </c:lineChart>
      <c:catAx>
        <c:axId val="373771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00000"/>
                </a:solidFill>
                <a:latin typeface="+mn-lt"/>
                <a:ea typeface="+mn-ea"/>
                <a:cs typeface="+mn-cs"/>
              </a:defRPr>
            </a:pPr>
            <a:endParaRPr lang="zh-CN"/>
          </a:p>
        </c:txPr>
        <c:crossAx val="37378688"/>
        <c:crosses val="autoZero"/>
        <c:auto val="1"/>
        <c:lblAlgn val="ctr"/>
        <c:lblOffset val="100"/>
      </c:catAx>
      <c:valAx>
        <c:axId val="37378688"/>
        <c:scaling>
          <c:orientation val="minMax"/>
          <c:max val="12000"/>
          <c:min val="0"/>
        </c:scaling>
        <c:axPos val="l"/>
        <c:majorGridlines>
          <c:spPr>
            <a:ln w="9525" cap="flat" cmpd="sng" algn="ctr">
              <a:solidFill>
                <a:srgbClr val="9C9D9D"/>
              </a:solidFill>
              <a:round/>
            </a:ln>
            <a:effectLst/>
          </c:spPr>
        </c:majorGridlines>
        <c:title>
          <c:tx>
            <c:rich>
              <a:bodyPr rot="-5400000" spcFirstLastPara="1" vertOverflow="ellipsis" vert="horz" wrap="square" anchor="ctr" anchorCtr="1"/>
              <a:lstStyle/>
              <a:p>
                <a:pPr>
                  <a:defRPr sz="1000" b="0" i="0" u="none" strike="noStrike" kern="1200" baseline="0">
                    <a:solidFill>
                      <a:srgbClr val="000000"/>
                    </a:solidFill>
                    <a:latin typeface="+mn-lt"/>
                    <a:ea typeface="+mn-ea"/>
                    <a:cs typeface="+mn-cs"/>
                  </a:defRPr>
                </a:pPr>
                <a:r>
                  <a:rPr lang="en-US"/>
                  <a:t>Opium production (tons)</a:t>
                </a:r>
              </a:p>
            </c:rich>
          </c:tx>
          <c:layout>
            <c:manualLayout>
              <c:xMode val="edge"/>
              <c:yMode val="edge"/>
              <c:x val="2.1136908875933988E-2"/>
              <c:y val="0.24491670153275946"/>
            </c:manualLayout>
          </c:layout>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0000"/>
                </a:solidFill>
                <a:latin typeface="+mn-lt"/>
                <a:ea typeface="+mn-ea"/>
                <a:cs typeface="+mn-cs"/>
              </a:defRPr>
            </a:pPr>
            <a:endParaRPr lang="zh-CN"/>
          </a:p>
        </c:txPr>
        <c:crossAx val="37377152"/>
        <c:crosses val="autoZero"/>
        <c:crossBetween val="between"/>
        <c:majorUnit val="1000"/>
      </c:valAx>
      <c:valAx>
        <c:axId val="37397248"/>
        <c:scaling>
          <c:orientation val="minMax"/>
          <c:min val="0"/>
        </c:scaling>
        <c:axPos val="r"/>
        <c:title>
          <c:tx>
            <c:rich>
              <a:bodyPr rot="-5400000" spcFirstLastPara="1" vertOverflow="ellipsis" vert="horz" wrap="square" anchor="ctr" anchorCtr="1"/>
              <a:lstStyle/>
              <a:p>
                <a:pPr>
                  <a:defRPr sz="1000" b="0" i="0" u="none" strike="noStrike" kern="1200" baseline="0">
                    <a:solidFill>
                      <a:srgbClr val="000000"/>
                    </a:solidFill>
                    <a:latin typeface="+mn-lt"/>
                    <a:ea typeface="+mn-ea"/>
                    <a:cs typeface="+mn-cs"/>
                  </a:defRPr>
                </a:pPr>
                <a:r>
                  <a:rPr lang="en-US"/>
                  <a:t>Seizures of heroin  (tons of opium equivalents)</a:t>
                </a:r>
              </a:p>
            </c:rich>
          </c:tx>
          <c:layout>
            <c:manualLayout>
              <c:xMode val="edge"/>
              <c:yMode val="edge"/>
              <c:x val="0.95937904877982338"/>
              <c:y val="0.11906285278298118"/>
            </c:manualLayout>
          </c:layout>
          <c:spPr>
            <a:noFill/>
            <a:ln>
              <a:noFill/>
            </a:ln>
            <a:effectLst/>
          </c:spPr>
        </c:title>
        <c:numFmt formatCode="#,##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rgbClr val="000000"/>
                </a:solidFill>
                <a:latin typeface="+mn-lt"/>
                <a:ea typeface="+mn-ea"/>
                <a:cs typeface="+mn-cs"/>
              </a:defRPr>
            </a:pPr>
            <a:endParaRPr lang="zh-CN"/>
          </a:p>
        </c:txPr>
        <c:crossAx val="37399168"/>
        <c:crosses val="max"/>
        <c:crossBetween val="between"/>
        <c:majorUnit val="100000"/>
      </c:valAx>
      <c:catAx>
        <c:axId val="37399168"/>
        <c:scaling>
          <c:orientation val="minMax"/>
        </c:scaling>
        <c:delete val="1"/>
        <c:axPos val="b"/>
        <c:numFmt formatCode="General" sourceLinked="1"/>
        <c:tickLblPos val="none"/>
        <c:crossAx val="37397248"/>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rgbClr val="000000"/>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rgbClr val="FFFFFF"/>
    </a:solidFill>
    <a:ln w="9525" cap="flat" cmpd="sng" algn="ctr">
      <a:noFill/>
      <a:round/>
    </a:ln>
    <a:effectLst/>
  </c:spPr>
  <c:txPr>
    <a:bodyPr/>
    <a:lstStyle/>
    <a:p>
      <a:pPr>
        <a:defRPr>
          <a:solidFill>
            <a:srgbClr val="000000"/>
          </a:solidFill>
        </a:defRPr>
      </a:pPr>
      <a:endParaRPr lang="zh-CN"/>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barChart>
        <c:barDir val="col"/>
        <c:grouping val="clustered"/>
        <c:ser>
          <c:idx val="1"/>
          <c:order val="0"/>
          <c:tx>
            <c:strRef>
              <c:f>Sheet1!$C$16</c:f>
              <c:strCache>
                <c:ptCount val="1"/>
                <c:pt idx="0">
                  <c:v>ARQ</c:v>
                </c:pt>
              </c:strCache>
            </c:strRef>
          </c:tx>
          <c:spPr>
            <a:solidFill>
              <a:schemeClr val="accent2"/>
            </a:solidFill>
            <a:ln>
              <a:noFill/>
            </a:ln>
            <a:effectLst/>
          </c:spPr>
          <c:cat>
            <c:numRef>
              <c:f>Sheet1!$D$14:$K$14</c:f>
              <c:numCache>
                <c:formatCode>General</c:formatCode>
                <c:ptCount val="8"/>
                <c:pt idx="0">
                  <c:v>2010</c:v>
                </c:pt>
                <c:pt idx="1">
                  <c:v>2016</c:v>
                </c:pt>
                <c:pt idx="2">
                  <c:v>2017</c:v>
                </c:pt>
                <c:pt idx="3">
                  <c:v>2018</c:v>
                </c:pt>
                <c:pt idx="4">
                  <c:v>2019</c:v>
                </c:pt>
                <c:pt idx="5">
                  <c:v>2020</c:v>
                </c:pt>
                <c:pt idx="6">
                  <c:v>2021</c:v>
                </c:pt>
                <c:pt idx="7">
                  <c:v>2022</c:v>
                </c:pt>
              </c:numCache>
            </c:numRef>
          </c:cat>
          <c:val>
            <c:numRef>
              <c:f>Sheet1!$D$16:$K$16</c:f>
              <c:numCache>
                <c:formatCode>#,##0</c:formatCode>
                <c:ptCount val="8"/>
                <c:pt idx="0">
                  <c:v>633503</c:v>
                </c:pt>
                <c:pt idx="1">
                  <c:v>1119077</c:v>
                </c:pt>
                <c:pt idx="2">
                  <c:v>1286762</c:v>
                </c:pt>
                <c:pt idx="3">
                  <c:v>1270180</c:v>
                </c:pt>
                <c:pt idx="4">
                  <c:v>1364869</c:v>
                </c:pt>
                <c:pt idx="5">
                  <c:v>1431699.4618866404</c:v>
                </c:pt>
                <c:pt idx="6">
                  <c:v>2025683.0140250002</c:v>
                </c:pt>
              </c:numCache>
            </c:numRef>
          </c:val>
          <c:extLst xmlns:c16r2="http://schemas.microsoft.com/office/drawing/2015/06/chart">
            <c:ext xmlns:c16="http://schemas.microsoft.com/office/drawing/2014/chart" uri="{C3380CC4-5D6E-409C-BE32-E72D297353CC}">
              <c16:uniqueId val="{00000000-932A-4A06-98A2-E3CAEF0E7021}"/>
            </c:ext>
          </c:extLst>
        </c:ser>
        <c:ser>
          <c:idx val="0"/>
          <c:order val="1"/>
          <c:tx>
            <c:strRef>
              <c:f>Sheet1!$C$15</c:f>
              <c:strCache>
                <c:ptCount val="1"/>
                <c:pt idx="0">
                  <c:v>DMP</c:v>
                </c:pt>
              </c:strCache>
            </c:strRef>
          </c:tx>
          <c:spPr>
            <a:solidFill>
              <a:schemeClr val="accent1"/>
            </a:solidFill>
            <a:ln>
              <a:noFill/>
            </a:ln>
            <a:effectLst/>
          </c:spPr>
          <c:cat>
            <c:numRef>
              <c:f>Sheet1!$D$14:$K$14</c:f>
              <c:numCache>
                <c:formatCode>General</c:formatCode>
                <c:ptCount val="8"/>
                <c:pt idx="0">
                  <c:v>2010</c:v>
                </c:pt>
                <c:pt idx="1">
                  <c:v>2016</c:v>
                </c:pt>
                <c:pt idx="2">
                  <c:v>2017</c:v>
                </c:pt>
                <c:pt idx="3">
                  <c:v>2018</c:v>
                </c:pt>
                <c:pt idx="4">
                  <c:v>2019</c:v>
                </c:pt>
                <c:pt idx="5">
                  <c:v>2020</c:v>
                </c:pt>
                <c:pt idx="6">
                  <c:v>2021</c:v>
                </c:pt>
                <c:pt idx="7">
                  <c:v>2022</c:v>
                </c:pt>
              </c:numCache>
            </c:numRef>
          </c:cat>
          <c:val>
            <c:numRef>
              <c:f>Sheet1!$D$15:$K$15</c:f>
              <c:numCache>
                <c:formatCode>_(* #,##0_);_(* \(#,##0\);_(* "-"??_);_(@_)</c:formatCode>
                <c:ptCount val="8"/>
                <c:pt idx="0">
                  <c:v>101242.34524200112</c:v>
                </c:pt>
                <c:pt idx="1">
                  <c:v>209394.18898099777</c:v>
                </c:pt>
                <c:pt idx="2" formatCode="General">
                  <c:v>301180.8375989999</c:v>
                </c:pt>
                <c:pt idx="3">
                  <c:v>187466.86580799951</c:v>
                </c:pt>
                <c:pt idx="4">
                  <c:v>347153.15593099955</c:v>
                </c:pt>
                <c:pt idx="5">
                  <c:v>759757.76716399938</c:v>
                </c:pt>
                <c:pt idx="6">
                  <c:v>757588.28536699992</c:v>
                </c:pt>
                <c:pt idx="7">
                  <c:v>843103.34532299964</c:v>
                </c:pt>
              </c:numCache>
            </c:numRef>
          </c:val>
          <c:extLst xmlns:c16r2="http://schemas.microsoft.com/office/drawing/2015/06/chart">
            <c:ext xmlns:c16="http://schemas.microsoft.com/office/drawing/2014/chart" uri="{C3380CC4-5D6E-409C-BE32-E72D297353CC}">
              <c16:uniqueId val="{00000001-932A-4A06-98A2-E3CAEF0E7021}"/>
            </c:ext>
          </c:extLst>
        </c:ser>
        <c:gapWidth val="219"/>
        <c:overlap val="-27"/>
        <c:axId val="37659776"/>
        <c:axId val="37661312"/>
      </c:barChart>
      <c:catAx>
        <c:axId val="376597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7661312"/>
        <c:crosses val="autoZero"/>
        <c:auto val="1"/>
        <c:lblAlgn val="ctr"/>
        <c:lblOffset val="100"/>
      </c:catAx>
      <c:valAx>
        <c:axId val="37661312"/>
        <c:scaling>
          <c:orientation val="minMax"/>
          <c:max val="210000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Seizures (kg)</a:t>
                </a: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76597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0.12890069991251088"/>
          <c:y val="5.0925925925925923E-2"/>
          <c:w val="0.84054374453193337"/>
          <c:h val="0.66169510061242398"/>
        </c:manualLayout>
      </c:layout>
      <c:barChart>
        <c:barDir val="col"/>
        <c:grouping val="clustered"/>
        <c:ser>
          <c:idx val="0"/>
          <c:order val="0"/>
          <c:tx>
            <c:strRef>
              <c:f>'Figure B'!$C$32</c:f>
              <c:strCache>
                <c:ptCount val="1"/>
                <c:pt idx="0">
                  <c:v>Minimum sales (based on scraping of 39 darknet markets)</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B'!$B$33:$B$44</c:f>
              <c:strCach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strCache>
            </c:strRef>
          </c:cat>
          <c:val>
            <c:numRef>
              <c:f>'Figure B'!$C$33:$C$44</c:f>
              <c:numCache>
                <c:formatCode>_(* #,##0_);_(* \(#,##0\);_(* "-"??_);_(@_)</c:formatCode>
                <c:ptCount val="12"/>
                <c:pt idx="0">
                  <c:v>1.312435860000001</c:v>
                </c:pt>
                <c:pt idx="1">
                  <c:v>12.844965519999997</c:v>
                </c:pt>
                <c:pt idx="2">
                  <c:v>72.704725180000025</c:v>
                </c:pt>
                <c:pt idx="3">
                  <c:v>204.45441877000007</c:v>
                </c:pt>
                <c:pt idx="4">
                  <c:v>74.552042759999992</c:v>
                </c:pt>
                <c:pt idx="5">
                  <c:v>123.16007686999995</c:v>
                </c:pt>
                <c:pt idx="6">
                  <c:v>209.49745431999989</c:v>
                </c:pt>
                <c:pt idx="7">
                  <c:v>326.96673507999975</c:v>
                </c:pt>
                <c:pt idx="8">
                  <c:v>43.241731950000009</c:v>
                </c:pt>
                <c:pt idx="9">
                  <c:v>98.3094298500001</c:v>
                </c:pt>
                <c:pt idx="10">
                  <c:v>111.6250511399999</c:v>
                </c:pt>
                <c:pt idx="11">
                  <c:v>18.643175219999989</c:v>
                </c:pt>
              </c:numCache>
            </c:numRef>
          </c:val>
          <c:extLst xmlns:c16r2="http://schemas.microsoft.com/office/drawing/2015/06/chart">
            <c:ext xmlns:c16="http://schemas.microsoft.com/office/drawing/2014/chart" uri="{C3380CC4-5D6E-409C-BE32-E72D297353CC}">
              <c16:uniqueId val="{00000000-905C-4FB4-AE4A-69E10B2EC64D}"/>
            </c:ext>
          </c:extLst>
        </c:ser>
        <c:axId val="216883584"/>
        <c:axId val="216885120"/>
      </c:barChart>
      <c:lineChart>
        <c:grouping val="standard"/>
        <c:ser>
          <c:idx val="1"/>
          <c:order val="1"/>
          <c:tx>
            <c:strRef>
              <c:f>'Figure B'!$D$32</c:f>
              <c:strCache>
                <c:ptCount val="1"/>
                <c:pt idx="0">
                  <c:v>Estimates of overall darknet market sales (based on blockchain analysis, 2012-2021)</c:v>
                </c:pt>
              </c:strCache>
            </c:strRef>
          </c:tx>
          <c:spPr>
            <a:ln w="28575" cap="rnd">
              <a:solidFill>
                <a:schemeClr val="tx1"/>
              </a:solidFill>
              <a:prstDash val="dash"/>
              <a:round/>
            </a:ln>
            <a:effectLst/>
          </c:spPr>
          <c:marker>
            <c:symbol val="none"/>
          </c:marker>
          <c:cat>
            <c:strRef>
              <c:f>'Figure B'!$B$33:$B$44</c:f>
              <c:strCach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strCache>
            </c:strRef>
          </c:cat>
          <c:val>
            <c:numRef>
              <c:f>'Figure B'!$D$33:$D$44</c:f>
              <c:numCache>
                <c:formatCode>General</c:formatCode>
                <c:ptCount val="12"/>
                <c:pt idx="1">
                  <c:v>70</c:v>
                </c:pt>
                <c:pt idx="2">
                  <c:v>200</c:v>
                </c:pt>
                <c:pt idx="3">
                  <c:v>260</c:v>
                </c:pt>
                <c:pt idx="4">
                  <c:v>360</c:v>
                </c:pt>
                <c:pt idx="5">
                  <c:v>600</c:v>
                </c:pt>
                <c:pt idx="6">
                  <c:v>750</c:v>
                </c:pt>
                <c:pt idx="7">
                  <c:v>630</c:v>
                </c:pt>
                <c:pt idx="8">
                  <c:v>1180</c:v>
                </c:pt>
                <c:pt idx="9">
                  <c:v>1570</c:v>
                </c:pt>
                <c:pt idx="10">
                  <c:v>1780</c:v>
                </c:pt>
              </c:numCache>
            </c:numRef>
          </c:val>
          <c:extLst xmlns:c16r2="http://schemas.microsoft.com/office/drawing/2015/06/chart">
            <c:ext xmlns:c16="http://schemas.microsoft.com/office/drawing/2014/chart" uri="{C3380CC4-5D6E-409C-BE32-E72D297353CC}">
              <c16:uniqueId val="{00000001-905C-4FB4-AE4A-69E10B2EC64D}"/>
            </c:ext>
          </c:extLst>
        </c:ser>
        <c:ser>
          <c:idx val="2"/>
          <c:order val="2"/>
          <c:tx>
            <c:strRef>
              <c:f>'Figure B'!$E$32</c:f>
              <c:strCache>
                <c:ptCount val="1"/>
                <c:pt idx="0">
                  <c:v>Estimates of overall darknet market sales (based on blockchain analysis, update, 2020-2022)</c:v>
                </c:pt>
              </c:strCache>
            </c:strRef>
          </c:tx>
          <c:spPr>
            <a:ln w="28575" cap="rnd">
              <a:solidFill>
                <a:schemeClr val="tx1"/>
              </a:solidFill>
              <a:prstDash val="solid"/>
              <a:round/>
            </a:ln>
            <a:effectLst/>
          </c:spPr>
          <c:marker>
            <c:symbol val="none"/>
          </c:marker>
          <c:val>
            <c:numRef>
              <c:f>'Figure B'!$E$33:$E$44</c:f>
              <c:numCache>
                <c:formatCode>General</c:formatCode>
                <c:ptCount val="12"/>
                <c:pt idx="9">
                  <c:v>1910</c:v>
                </c:pt>
                <c:pt idx="10">
                  <c:v>2700</c:v>
                </c:pt>
                <c:pt idx="11">
                  <c:v>1300</c:v>
                </c:pt>
              </c:numCache>
            </c:numRef>
          </c:val>
          <c:extLst xmlns:c16r2="http://schemas.microsoft.com/office/drawing/2015/06/chart">
            <c:ext xmlns:c16="http://schemas.microsoft.com/office/drawing/2014/chart" uri="{C3380CC4-5D6E-409C-BE32-E72D297353CC}">
              <c16:uniqueId val="{00000004-905C-4FB4-AE4A-69E10B2EC64D}"/>
            </c:ext>
          </c:extLst>
        </c:ser>
        <c:marker val="1"/>
        <c:axId val="216883584"/>
        <c:axId val="216885120"/>
      </c:lineChart>
      <c:catAx>
        <c:axId val="2168835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6885120"/>
        <c:crosses val="autoZero"/>
        <c:auto val="1"/>
        <c:lblAlgn val="ctr"/>
        <c:lblOffset val="100"/>
      </c:catAx>
      <c:valAx>
        <c:axId val="21688512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sales (million dollars)</a:t>
                </a:r>
              </a:p>
            </c:rich>
          </c:tx>
          <c:layout>
            <c:manualLayout>
              <c:xMode val="edge"/>
              <c:yMode val="edge"/>
              <c:x val="2.4028871391076115E-3"/>
              <c:y val="3.8347550306211717E-2"/>
            </c:manualLayout>
          </c:layout>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6883584"/>
        <c:crosses val="autoZero"/>
        <c:crossBetween val="between"/>
      </c:valAx>
      <c:spPr>
        <a:noFill/>
        <a:ln>
          <a:noFill/>
        </a:ln>
        <a:effectLst/>
      </c:spPr>
    </c:plotArea>
    <c:legend>
      <c:legendPos val="b"/>
      <c:layout>
        <c:manualLayout>
          <c:xMode val="edge"/>
          <c:yMode val="edge"/>
          <c:x val="6.3175853018372675E-3"/>
          <c:y val="0.80150189559638418"/>
          <c:w val="0.97347594050743669"/>
          <c:h val="0.17072032662583839"/>
        </c:manualLayout>
      </c:layout>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ysClr val="windowText" lastClr="000000"/>
                </a:solidFill>
                <a:latin typeface="+mn-lt"/>
                <a:ea typeface="+mn-ea"/>
                <a:cs typeface="+mn-cs"/>
              </a:defRPr>
            </a:pPr>
            <a:r>
              <a:rPr lang="en-US" sz="1050">
                <a:solidFill>
                  <a:sysClr val="windowText" lastClr="000000"/>
                </a:solidFill>
              </a:rPr>
              <a:t>Global</a:t>
            </a:r>
          </a:p>
        </c:rich>
      </c:tx>
      <c:layout>
        <c:manualLayout>
          <c:xMode val="edge"/>
          <c:yMode val="edge"/>
          <c:x val="0.26310389286898883"/>
          <c:y val="6.9676721250135926E-3"/>
        </c:manualLayout>
      </c:layout>
      <c:spPr>
        <a:noFill/>
        <a:ln>
          <a:noFill/>
        </a:ln>
        <a:effectLst/>
      </c:spPr>
    </c:title>
    <c:plotArea>
      <c:layout>
        <c:manualLayout>
          <c:layoutTarget val="inner"/>
          <c:xMode val="edge"/>
          <c:yMode val="edge"/>
          <c:x val="0.14934882238228672"/>
          <c:y val="0.12869019899327755"/>
          <c:w val="0.4151523501375145"/>
          <c:h val="0.66002350452462111"/>
        </c:manualLayout>
      </c:layout>
      <c:lineChart>
        <c:grouping val="standard"/>
        <c:ser>
          <c:idx val="0"/>
          <c:order val="0"/>
          <c:tx>
            <c:strRef>
              <c:f>'B2-Supply-Fig 12'!$C$24</c:f>
              <c:strCache>
                <c:ptCount val="1"/>
                <c:pt idx="0">
                  <c:v>As reported</c:v>
                </c:pt>
              </c:strCache>
            </c:strRef>
          </c:tx>
          <c:spPr>
            <a:ln w="28575" cap="rnd">
              <a:solidFill>
                <a:schemeClr val="bg2"/>
              </a:solidFill>
              <a:round/>
            </a:ln>
            <a:effectLst/>
          </c:spPr>
          <c:marker>
            <c:symbol val="none"/>
          </c:marker>
          <c:dLbls>
            <c:dLbl>
              <c:idx val="0"/>
              <c:layout>
                <c:manualLayout>
                  <c:x val="-2.9445073612684058E-2"/>
                  <c:y val="3.240740740740741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69B-407A-8D73-B6F224CFA9A7}"/>
                </c:ext>
              </c:extLst>
            </c:dLbl>
            <c:dLbl>
              <c:idx val="8"/>
              <c:layout>
                <c:manualLayout>
                  <c:x val="-2.9445073612684045E-2"/>
                  <c:y val="-1.851851851851852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69B-407A-8D73-B6F224CFA9A7}"/>
                </c:ext>
              </c:extLst>
            </c:dLbl>
            <c:delete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CN"/>
              </a:p>
            </c:txPr>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'B2-Supply-Fig 12'!$D$23:$L$23</c:f>
              <c:numCache>
                <c:formatCode>mmm\-yy</c:formatCode>
                <c:ptCount val="9"/>
                <c:pt idx="0">
                  <c:v>41640</c:v>
                </c:pt>
                <c:pt idx="1">
                  <c:v>42005</c:v>
                </c:pt>
                <c:pt idx="2">
                  <c:v>42370</c:v>
                </c:pt>
                <c:pt idx="3">
                  <c:v>42736</c:v>
                </c:pt>
                <c:pt idx="4">
                  <c:v>43101</c:v>
                </c:pt>
                <c:pt idx="5">
                  <c:v>43466</c:v>
                </c:pt>
                <c:pt idx="6">
                  <c:v>43831</c:v>
                </c:pt>
                <c:pt idx="7">
                  <c:v>44197</c:v>
                </c:pt>
                <c:pt idx="8">
                  <c:v>44562</c:v>
                </c:pt>
              </c:numCache>
            </c:numRef>
          </c:cat>
          <c:val>
            <c:numRef>
              <c:f>'B2-Supply-Fig 12'!$D$24:$L$24</c:f>
              <c:numCache>
                <c:formatCode>0.0</c:formatCode>
                <c:ptCount val="9"/>
                <c:pt idx="0">
                  <c:v>4.6881720430107512</c:v>
                </c:pt>
                <c:pt idx="1">
                  <c:v>5.8946799161765684</c:v>
                </c:pt>
                <c:pt idx="2">
                  <c:v>7.5990815342182856</c:v>
                </c:pt>
                <c:pt idx="3">
                  <c:v>7.9478580016452565</c:v>
                </c:pt>
                <c:pt idx="4">
                  <c:v>9.3302462796646619</c:v>
                </c:pt>
                <c:pt idx="5">
                  <c:v>10.7</c:v>
                </c:pt>
                <c:pt idx="6">
                  <c:v>15</c:v>
                </c:pt>
                <c:pt idx="7">
                  <c:v>14.5</c:v>
                </c:pt>
                <c:pt idx="8">
                  <c:v>10.8</c:v>
                </c:pt>
              </c:numCache>
            </c:numRef>
          </c:val>
          <c:extLst xmlns:c16r2="http://schemas.microsoft.com/office/drawing/2015/06/chart">
            <c:ext xmlns:c16="http://schemas.microsoft.com/office/drawing/2014/chart" uri="{C3380CC4-5D6E-409C-BE32-E72D297353CC}">
              <c16:uniqueId val="{00000002-E69B-407A-8D73-B6F224CFA9A7}"/>
            </c:ext>
          </c:extLst>
        </c:ser>
        <c:ser>
          <c:idx val="1"/>
          <c:order val="1"/>
          <c:tx>
            <c:strRef>
              <c:f>'B2-Supply-Fig 12'!$C$25</c:f>
              <c:strCache>
                <c:ptCount val="1"/>
                <c:pt idx="0">
                  <c:v>Weighted by country population of respondents</c:v>
                </c:pt>
              </c:strCache>
            </c:strRef>
          </c:tx>
          <c:spPr>
            <a:ln w="28575" cap="rnd">
              <a:solidFill>
                <a:schemeClr val="accent6">
                  <a:lumMod val="75000"/>
                </a:schemeClr>
              </a:solidFill>
              <a:prstDash val="sysDot"/>
              <a:round/>
            </a:ln>
            <a:effectLst/>
          </c:spPr>
          <c:marker>
            <c:symbol val="none"/>
          </c:marker>
          <c:cat>
            <c:numRef>
              <c:f>'B2-Supply-Fig 12'!$D$23:$L$23</c:f>
              <c:numCache>
                <c:formatCode>mmm\-yy</c:formatCode>
                <c:ptCount val="9"/>
                <c:pt idx="0">
                  <c:v>41640</c:v>
                </c:pt>
                <c:pt idx="1">
                  <c:v>42005</c:v>
                </c:pt>
                <c:pt idx="2">
                  <c:v>42370</c:v>
                </c:pt>
                <c:pt idx="3">
                  <c:v>42736</c:v>
                </c:pt>
                <c:pt idx="4">
                  <c:v>43101</c:v>
                </c:pt>
                <c:pt idx="5">
                  <c:v>43466</c:v>
                </c:pt>
                <c:pt idx="6">
                  <c:v>43831</c:v>
                </c:pt>
                <c:pt idx="7">
                  <c:v>44197</c:v>
                </c:pt>
                <c:pt idx="8">
                  <c:v>44562</c:v>
                </c:pt>
              </c:numCache>
            </c:numRef>
          </c:cat>
          <c:val>
            <c:numRef>
              <c:f>'B2-Supply-Fig 12'!$D$25:$L$25</c:f>
              <c:numCache>
                <c:formatCode>_(* #,##0.0_);_(* \(#,##0.0\);_(* "-"??_);_(@_)</c:formatCode>
                <c:ptCount val="9"/>
                <c:pt idx="0">
                  <c:v>5.4572832829323978</c:v>
                </c:pt>
                <c:pt idx="1">
                  <c:v>6.084750963607652</c:v>
                </c:pt>
                <c:pt idx="2">
                  <c:v>8.64139971992903</c:v>
                </c:pt>
                <c:pt idx="3">
                  <c:v>8.8087216002208066</c:v>
                </c:pt>
                <c:pt idx="4">
                  <c:v>10.614589178014972</c:v>
                </c:pt>
                <c:pt idx="5">
                  <c:v>9.7364680354260624</c:v>
                </c:pt>
                <c:pt idx="6">
                  <c:v>13.497122947732038</c:v>
                </c:pt>
                <c:pt idx="7">
                  <c:v>14.803600521160876</c:v>
                </c:pt>
                <c:pt idx="8">
                  <c:v>9.9978647552922197</c:v>
                </c:pt>
              </c:numCache>
            </c:numRef>
          </c:val>
          <c:extLst xmlns:c16r2="http://schemas.microsoft.com/office/drawing/2015/06/chart">
            <c:ext xmlns:c16="http://schemas.microsoft.com/office/drawing/2014/chart" uri="{C3380CC4-5D6E-409C-BE32-E72D297353CC}">
              <c16:uniqueId val="{00000003-E69B-407A-8D73-B6F224CFA9A7}"/>
            </c:ext>
          </c:extLst>
        </c:ser>
        <c:marker val="1"/>
        <c:axId val="37721600"/>
        <c:axId val="37723136"/>
      </c:lineChart>
      <c:dateAx>
        <c:axId val="37721600"/>
        <c:scaling>
          <c:orientation val="minMax"/>
        </c:scaling>
        <c:axPos val="b"/>
        <c:numFmt formatCode="mmm\-yy" sourceLinked="1"/>
        <c:majorTickMark val="in"/>
        <c:minorTickMark val="in"/>
        <c:tickLblPos val="nextTo"/>
        <c:spPr>
          <a:noFill/>
          <a:ln w="9525" cap="flat" cmpd="sng" algn="ctr">
            <a:solidFill>
              <a:srgbClr val="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crossAx val="37723136"/>
        <c:crosses val="autoZero"/>
        <c:auto val="1"/>
        <c:lblOffset val="100"/>
        <c:baseTimeUnit val="years"/>
        <c:majorUnit val="1"/>
        <c:majorTimeUnit val="years"/>
      </c:dateAx>
      <c:valAx>
        <c:axId val="37723136"/>
        <c:scaling>
          <c:orientation val="minMax"/>
          <c:max val="16"/>
          <c:min val="0"/>
        </c:scaling>
        <c:axPos val="l"/>
        <c:majorGridlines>
          <c:spPr>
            <a:ln w="9525" cap="flat" cmpd="sng" algn="ctr">
              <a:solidFill>
                <a:srgbClr val="9C9D9D"/>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Percentage</a:t>
                </a:r>
              </a:p>
            </c:rich>
          </c:tx>
          <c:layout>
            <c:manualLayout>
              <c:xMode val="edge"/>
              <c:yMode val="edge"/>
              <c:x val="2.8500019587103858E-3"/>
              <c:y val="0.28242958436165644"/>
            </c:manualLayout>
          </c:layout>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crossAx val="37721600"/>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zh-CN"/>
          </a:p>
        </c:txPr>
      </c:legendEntry>
      <c:layout>
        <c:manualLayout>
          <c:xMode val="edge"/>
          <c:yMode val="edge"/>
          <c:x val="0.57187572193534819"/>
          <c:y val="0.14363428822802191"/>
          <c:w val="0.42812427806465209"/>
          <c:h val="0.57637450984853666"/>
        </c:manualLayout>
      </c:layout>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rgbClr val="FFFFFF"/>
    </a:solidFill>
    <a:ln w="9525" cap="flat" cmpd="sng" algn="ctr">
      <a:noFill/>
      <a:round/>
    </a:ln>
    <a:effectLst/>
  </c:spPr>
  <c:txPr>
    <a:bodyPr/>
    <a:lstStyle/>
    <a:p>
      <a:pPr>
        <a:defRPr/>
      </a:pPr>
      <a:endParaRPr lang="zh-CN"/>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'B2-Supply-Fig 13'!$D$21</c:f>
              <c:strCache>
                <c:ptCount val="1"/>
                <c:pt idx="0">
                  <c:v>Jan-14</c:v>
                </c:pt>
              </c:strCache>
            </c:strRef>
          </c:tx>
          <c:spPr>
            <a:solidFill>
              <a:srgbClr val="004994">
                <a:lumMod val="50000"/>
              </a:srgbClr>
            </a:solidFill>
            <a:ln>
              <a:noFill/>
            </a:ln>
            <a:effectLst/>
          </c:spPr>
          <c:cat>
            <c:strRef>
              <c:f>'B2-Supply-Fig 13'!$C$22:$C$25</c:f>
              <c:strCache>
                <c:ptCount val="4"/>
                <c:pt idx="0">
                  <c:v>Europe</c:v>
                </c:pt>
                <c:pt idx="1">
                  <c:v>North America</c:v>
                </c:pt>
                <c:pt idx="2">
                  <c:v>Oceania</c:v>
                </c:pt>
                <c:pt idx="3">
                  <c:v>Latin America</c:v>
                </c:pt>
              </c:strCache>
            </c:strRef>
          </c:cat>
          <c:val>
            <c:numRef>
              <c:f>'B2-Supply-Fig 13'!$D$22:$D$25</c:f>
              <c:numCache>
                <c:formatCode>_(* #,##0.0_);_(* \(#,##0.0\);_(* "-"??_);_(@_)</c:formatCode>
                <c:ptCount val="4"/>
                <c:pt idx="0">
                  <c:v>6.7072864078328713</c:v>
                </c:pt>
                <c:pt idx="1">
                  <c:v>7.6577876735462764</c:v>
                </c:pt>
                <c:pt idx="2">
                  <c:v>6.0404661519755694</c:v>
                </c:pt>
                <c:pt idx="3">
                  <c:v>1.6076636830620235</c:v>
                </c:pt>
              </c:numCache>
            </c:numRef>
          </c:val>
          <c:extLst xmlns:c16r2="http://schemas.microsoft.com/office/drawing/2015/06/chart">
            <c:ext xmlns:c16="http://schemas.microsoft.com/office/drawing/2014/chart" uri="{C3380CC4-5D6E-409C-BE32-E72D297353CC}">
              <c16:uniqueId val="{00000000-9105-4E42-AEA9-0F4CE2B23246}"/>
            </c:ext>
          </c:extLst>
        </c:ser>
        <c:ser>
          <c:idx val="1"/>
          <c:order val="1"/>
          <c:tx>
            <c:strRef>
              <c:f>'B2-Supply-Fig 13'!$E$21</c:f>
              <c:strCache>
                <c:ptCount val="1"/>
                <c:pt idx="0">
                  <c:v>Jan-15</c:v>
                </c:pt>
              </c:strCache>
            </c:strRef>
          </c:tx>
          <c:spPr>
            <a:solidFill>
              <a:srgbClr val="004994">
                <a:lumMod val="75000"/>
              </a:srgbClr>
            </a:solidFill>
            <a:ln>
              <a:noFill/>
            </a:ln>
            <a:effectLst/>
          </c:spPr>
          <c:cat>
            <c:strRef>
              <c:f>'B2-Supply-Fig 13'!$C$22:$C$25</c:f>
              <c:strCache>
                <c:ptCount val="4"/>
                <c:pt idx="0">
                  <c:v>Europe</c:v>
                </c:pt>
                <c:pt idx="1">
                  <c:v>North America</c:v>
                </c:pt>
                <c:pt idx="2">
                  <c:v>Oceania</c:v>
                </c:pt>
                <c:pt idx="3">
                  <c:v>Latin America</c:v>
                </c:pt>
              </c:strCache>
            </c:strRef>
          </c:cat>
          <c:val>
            <c:numRef>
              <c:f>'B2-Supply-Fig 13'!$E$22:$E$25</c:f>
              <c:numCache>
                <c:formatCode>_(* #,##0.0_);_(* \(#,##0.0\);_(* "-"??_);_(@_)</c:formatCode>
                <c:ptCount val="4"/>
                <c:pt idx="0">
                  <c:v>7.3896822398603765</c:v>
                </c:pt>
                <c:pt idx="1">
                  <c:v>8.6789009306071669</c:v>
                </c:pt>
                <c:pt idx="2">
                  <c:v>7.8629150025233487</c:v>
                </c:pt>
                <c:pt idx="3">
                  <c:v>1.8641382292704629</c:v>
                </c:pt>
              </c:numCache>
            </c:numRef>
          </c:val>
          <c:extLst xmlns:c16r2="http://schemas.microsoft.com/office/drawing/2015/06/chart">
            <c:ext xmlns:c16="http://schemas.microsoft.com/office/drawing/2014/chart" uri="{C3380CC4-5D6E-409C-BE32-E72D297353CC}">
              <c16:uniqueId val="{00000001-9105-4E42-AEA9-0F4CE2B23246}"/>
            </c:ext>
          </c:extLst>
        </c:ser>
        <c:ser>
          <c:idx val="2"/>
          <c:order val="2"/>
          <c:tx>
            <c:strRef>
              <c:f>'B2-Supply-Fig 13'!$F$21</c:f>
              <c:strCache>
                <c:ptCount val="1"/>
                <c:pt idx="0">
                  <c:v>Jan-16</c:v>
                </c:pt>
              </c:strCache>
            </c:strRef>
          </c:tx>
          <c:spPr>
            <a:solidFill>
              <a:srgbClr val="004994">
                <a:lumMod val="60000"/>
                <a:lumOff val="40000"/>
              </a:srgbClr>
            </a:solidFill>
            <a:ln>
              <a:noFill/>
            </a:ln>
            <a:effectLst/>
          </c:spPr>
          <c:cat>
            <c:strRef>
              <c:f>'B2-Supply-Fig 13'!$C$22:$C$25</c:f>
              <c:strCache>
                <c:ptCount val="4"/>
                <c:pt idx="0">
                  <c:v>Europe</c:v>
                </c:pt>
                <c:pt idx="1">
                  <c:v>North America</c:v>
                </c:pt>
                <c:pt idx="2">
                  <c:v>Oceania</c:v>
                </c:pt>
                <c:pt idx="3">
                  <c:v>Latin America</c:v>
                </c:pt>
              </c:strCache>
            </c:strRef>
          </c:cat>
          <c:val>
            <c:numRef>
              <c:f>'B2-Supply-Fig 13'!$F$22:$F$25</c:f>
              <c:numCache>
                <c:formatCode>_(* #,##0.0_);_(* \(#,##0.0\);_(* "-"??_);_(@_)</c:formatCode>
                <c:ptCount val="4"/>
                <c:pt idx="0">
                  <c:v>9.0708229590061844</c:v>
                </c:pt>
                <c:pt idx="1">
                  <c:v>14.346898741281208</c:v>
                </c:pt>
                <c:pt idx="2">
                  <c:v>8.2261997113607812</c:v>
                </c:pt>
                <c:pt idx="3">
                  <c:v>3.3862600709087927</c:v>
                </c:pt>
              </c:numCache>
            </c:numRef>
          </c:val>
          <c:extLst xmlns:c16r2="http://schemas.microsoft.com/office/drawing/2015/06/chart">
            <c:ext xmlns:c16="http://schemas.microsoft.com/office/drawing/2014/chart" uri="{C3380CC4-5D6E-409C-BE32-E72D297353CC}">
              <c16:uniqueId val="{00000002-9105-4E42-AEA9-0F4CE2B23246}"/>
            </c:ext>
          </c:extLst>
        </c:ser>
        <c:ser>
          <c:idx val="3"/>
          <c:order val="3"/>
          <c:tx>
            <c:strRef>
              <c:f>'B2-Supply-Fig 13'!$G$21</c:f>
              <c:strCache>
                <c:ptCount val="1"/>
                <c:pt idx="0">
                  <c:v>Jan-17</c:v>
                </c:pt>
              </c:strCache>
            </c:strRef>
          </c:tx>
          <c:spPr>
            <a:solidFill>
              <a:srgbClr val="2E7ABF">
                <a:lumMod val="60000"/>
                <a:lumOff val="40000"/>
              </a:srgbClr>
            </a:solidFill>
            <a:ln>
              <a:noFill/>
            </a:ln>
            <a:effectLst/>
          </c:spPr>
          <c:cat>
            <c:strRef>
              <c:f>'B2-Supply-Fig 13'!$C$22:$C$25</c:f>
              <c:strCache>
                <c:ptCount val="4"/>
                <c:pt idx="0">
                  <c:v>Europe</c:v>
                </c:pt>
                <c:pt idx="1">
                  <c:v>North America</c:v>
                </c:pt>
                <c:pt idx="2">
                  <c:v>Oceania</c:v>
                </c:pt>
                <c:pt idx="3">
                  <c:v>Latin America</c:v>
                </c:pt>
              </c:strCache>
            </c:strRef>
          </c:cat>
          <c:val>
            <c:numRef>
              <c:f>'B2-Supply-Fig 13'!$G$22:$G$25</c:f>
              <c:numCache>
                <c:formatCode>_(* #,##0.0_);_(* \(#,##0.0\);_(* "-"??_);_(@_)</c:formatCode>
                <c:ptCount val="4"/>
                <c:pt idx="0">
                  <c:v>11.46297443275347</c:v>
                </c:pt>
                <c:pt idx="1">
                  <c:v>12.601954485614826</c:v>
                </c:pt>
                <c:pt idx="2">
                  <c:v>7.1651850617774846</c:v>
                </c:pt>
                <c:pt idx="3">
                  <c:v>2.7238376976401639</c:v>
                </c:pt>
              </c:numCache>
            </c:numRef>
          </c:val>
          <c:extLst xmlns:c16r2="http://schemas.microsoft.com/office/drawing/2015/06/chart">
            <c:ext xmlns:c16="http://schemas.microsoft.com/office/drawing/2014/chart" uri="{C3380CC4-5D6E-409C-BE32-E72D297353CC}">
              <c16:uniqueId val="{00000003-9105-4E42-AEA9-0F4CE2B23246}"/>
            </c:ext>
          </c:extLst>
        </c:ser>
        <c:ser>
          <c:idx val="4"/>
          <c:order val="4"/>
          <c:tx>
            <c:strRef>
              <c:f>'B2-Supply-Fig 13'!$H$21</c:f>
              <c:strCache>
                <c:ptCount val="1"/>
                <c:pt idx="0">
                  <c:v>Jan-18</c:v>
                </c:pt>
              </c:strCache>
            </c:strRef>
          </c:tx>
          <c:spPr>
            <a:solidFill>
              <a:srgbClr val="2E7ABF">
                <a:lumMod val="40000"/>
                <a:lumOff val="60000"/>
              </a:srgbClr>
            </a:solidFill>
            <a:ln>
              <a:noFill/>
            </a:ln>
            <a:effectLst/>
          </c:spPr>
          <c:cat>
            <c:strRef>
              <c:f>'B2-Supply-Fig 13'!$C$22:$C$25</c:f>
              <c:strCache>
                <c:ptCount val="4"/>
                <c:pt idx="0">
                  <c:v>Europe</c:v>
                </c:pt>
                <c:pt idx="1">
                  <c:v>North America</c:v>
                </c:pt>
                <c:pt idx="2">
                  <c:v>Oceania</c:v>
                </c:pt>
                <c:pt idx="3">
                  <c:v>Latin America</c:v>
                </c:pt>
              </c:strCache>
            </c:strRef>
          </c:cat>
          <c:val>
            <c:numRef>
              <c:f>'B2-Supply-Fig 13'!$H$22:$H$25</c:f>
              <c:numCache>
                <c:formatCode>_(* #,##0.0_);_(* \(#,##0.0\);_(* "-"??_);_(@_)</c:formatCode>
                <c:ptCount val="4"/>
                <c:pt idx="0">
                  <c:v>11.907215096639952</c:v>
                </c:pt>
                <c:pt idx="1">
                  <c:v>17.244834596179789</c:v>
                </c:pt>
                <c:pt idx="2">
                  <c:v>14.894949559108341</c:v>
                </c:pt>
                <c:pt idx="3">
                  <c:v>3.6318789888011902</c:v>
                </c:pt>
              </c:numCache>
            </c:numRef>
          </c:val>
          <c:extLst xmlns:c16r2="http://schemas.microsoft.com/office/drawing/2015/06/chart">
            <c:ext xmlns:c16="http://schemas.microsoft.com/office/drawing/2014/chart" uri="{C3380CC4-5D6E-409C-BE32-E72D297353CC}">
              <c16:uniqueId val="{00000004-9105-4E42-AEA9-0F4CE2B23246}"/>
            </c:ext>
          </c:extLst>
        </c:ser>
        <c:ser>
          <c:idx val="5"/>
          <c:order val="5"/>
          <c:tx>
            <c:strRef>
              <c:f>'B2-Supply-Fig 13'!$I$21</c:f>
              <c:strCache>
                <c:ptCount val="1"/>
                <c:pt idx="0">
                  <c:v>Jan-19</c:v>
                </c:pt>
              </c:strCache>
            </c:strRef>
          </c:tx>
          <c:spPr>
            <a:solidFill>
              <a:schemeClr val="accent6">
                <a:lumMod val="20000"/>
                <a:lumOff val="80000"/>
              </a:schemeClr>
            </a:solidFill>
            <a:ln>
              <a:noFill/>
            </a:ln>
            <a:effectLst/>
          </c:spPr>
          <c:cat>
            <c:strRef>
              <c:f>'B2-Supply-Fig 13'!$C$22:$C$25</c:f>
              <c:strCache>
                <c:ptCount val="4"/>
                <c:pt idx="0">
                  <c:v>Europe</c:v>
                </c:pt>
                <c:pt idx="1">
                  <c:v>North America</c:v>
                </c:pt>
                <c:pt idx="2">
                  <c:v>Oceania</c:v>
                </c:pt>
                <c:pt idx="3">
                  <c:v>Latin America</c:v>
                </c:pt>
              </c:strCache>
            </c:strRef>
          </c:cat>
          <c:val>
            <c:numRef>
              <c:f>'B2-Supply-Fig 13'!$I$22:$I$25</c:f>
              <c:numCache>
                <c:formatCode>_(* #,##0.0_);_(* \(#,##0.0\);_(* "-"??_);_(@_)</c:formatCode>
                <c:ptCount val="4"/>
                <c:pt idx="0">
                  <c:v>13.968532063420726</c:v>
                </c:pt>
                <c:pt idx="1">
                  <c:v>11.848958400285767</c:v>
                </c:pt>
                <c:pt idx="2">
                  <c:v>12.906144447080464</c:v>
                </c:pt>
                <c:pt idx="3">
                  <c:v>3.1335826803576809</c:v>
                </c:pt>
              </c:numCache>
            </c:numRef>
          </c:val>
          <c:extLst xmlns:c16r2="http://schemas.microsoft.com/office/drawing/2015/06/chart">
            <c:ext xmlns:c16="http://schemas.microsoft.com/office/drawing/2014/chart" uri="{C3380CC4-5D6E-409C-BE32-E72D297353CC}">
              <c16:uniqueId val="{00000005-9105-4E42-AEA9-0F4CE2B23246}"/>
            </c:ext>
          </c:extLst>
        </c:ser>
        <c:ser>
          <c:idx val="6"/>
          <c:order val="6"/>
          <c:tx>
            <c:strRef>
              <c:f>'B2-Supply-Fig 13'!$J$21</c:f>
              <c:strCache>
                <c:ptCount val="1"/>
                <c:pt idx="0">
                  <c:v>Jan-20</c:v>
                </c:pt>
              </c:strCache>
            </c:strRef>
          </c:tx>
          <c:spPr>
            <a:solidFill>
              <a:schemeClr val="accent2">
                <a:lumMod val="20000"/>
                <a:lumOff val="80000"/>
              </a:schemeClr>
            </a:solidFill>
            <a:ln>
              <a:noFill/>
            </a:ln>
            <a:effectLst/>
          </c:spPr>
          <c:cat>
            <c:strRef>
              <c:f>'B2-Supply-Fig 13'!$C$22:$C$25</c:f>
              <c:strCache>
                <c:ptCount val="4"/>
                <c:pt idx="0">
                  <c:v>Europe</c:v>
                </c:pt>
                <c:pt idx="1">
                  <c:v>North America</c:v>
                </c:pt>
                <c:pt idx="2">
                  <c:v>Oceania</c:v>
                </c:pt>
                <c:pt idx="3">
                  <c:v>Latin America</c:v>
                </c:pt>
              </c:strCache>
            </c:strRef>
          </c:cat>
          <c:val>
            <c:numRef>
              <c:f>'B2-Supply-Fig 13'!$J$22:$J$25</c:f>
              <c:numCache>
                <c:formatCode>_(* #,##0.0_);_(* \(#,##0.0\);_(* "-"??_);_(@_)</c:formatCode>
                <c:ptCount val="4"/>
                <c:pt idx="0">
                  <c:v>17.32236442346278</c:v>
                </c:pt>
                <c:pt idx="1">
                  <c:v>18.725999807444062</c:v>
                </c:pt>
                <c:pt idx="2">
                  <c:v>16.807500924902531</c:v>
                </c:pt>
                <c:pt idx="3">
                  <c:v>5.4145616022221565</c:v>
                </c:pt>
              </c:numCache>
            </c:numRef>
          </c:val>
          <c:extLst xmlns:c16r2="http://schemas.microsoft.com/office/drawing/2015/06/chart">
            <c:ext xmlns:c16="http://schemas.microsoft.com/office/drawing/2014/chart" uri="{C3380CC4-5D6E-409C-BE32-E72D297353CC}">
              <c16:uniqueId val="{00000006-9105-4E42-AEA9-0F4CE2B23246}"/>
            </c:ext>
          </c:extLst>
        </c:ser>
        <c:ser>
          <c:idx val="7"/>
          <c:order val="7"/>
          <c:tx>
            <c:strRef>
              <c:f>'B2-Supply-Fig 13'!$K$21</c:f>
              <c:strCache>
                <c:ptCount val="1"/>
                <c:pt idx="0">
                  <c:v>Jan-21</c:v>
                </c:pt>
              </c:strCache>
            </c:strRef>
          </c:tx>
          <c:spPr>
            <a:solidFill>
              <a:schemeClr val="accent2">
                <a:lumMod val="60000"/>
                <a:lumOff val="40000"/>
              </a:schemeClr>
            </a:solidFill>
            <a:ln>
              <a:noFill/>
            </a:ln>
            <a:effectLst/>
          </c:spPr>
          <c:cat>
            <c:strRef>
              <c:f>'B2-Supply-Fig 13'!$C$22:$C$25</c:f>
              <c:strCache>
                <c:ptCount val="4"/>
                <c:pt idx="0">
                  <c:v>Europe</c:v>
                </c:pt>
                <c:pt idx="1">
                  <c:v>North America</c:v>
                </c:pt>
                <c:pt idx="2">
                  <c:v>Oceania</c:v>
                </c:pt>
                <c:pt idx="3">
                  <c:v>Latin America</c:v>
                </c:pt>
              </c:strCache>
            </c:strRef>
          </c:cat>
          <c:val>
            <c:numRef>
              <c:f>'B2-Supply-Fig 13'!$K$22:$K$25</c:f>
              <c:numCache>
                <c:formatCode>_(* #,##0.0_);_(* \(#,##0.0\);_(* "-"??_);_(@_)</c:formatCode>
                <c:ptCount val="4"/>
                <c:pt idx="0">
                  <c:v>16.596411547266126</c:v>
                </c:pt>
                <c:pt idx="1">
                  <c:v>23.930590912245787</c:v>
                </c:pt>
                <c:pt idx="2">
                  <c:v>17.489412434570554</c:v>
                </c:pt>
                <c:pt idx="3">
                  <c:v>6.0747386845910833</c:v>
                </c:pt>
              </c:numCache>
            </c:numRef>
          </c:val>
          <c:extLst xmlns:c16r2="http://schemas.microsoft.com/office/drawing/2015/06/chart">
            <c:ext xmlns:c16="http://schemas.microsoft.com/office/drawing/2014/chart" uri="{C3380CC4-5D6E-409C-BE32-E72D297353CC}">
              <c16:uniqueId val="{00000007-9105-4E42-AEA9-0F4CE2B23246}"/>
            </c:ext>
          </c:extLst>
        </c:ser>
        <c:ser>
          <c:idx val="8"/>
          <c:order val="8"/>
          <c:tx>
            <c:strRef>
              <c:f>'B2-Supply-Fig 13'!$L$21</c:f>
              <c:strCache>
                <c:ptCount val="1"/>
                <c:pt idx="0">
                  <c:v>Jan-22</c:v>
                </c:pt>
              </c:strCache>
            </c:strRef>
          </c:tx>
          <c:spPr>
            <a:solidFill>
              <a:srgbClr val="C00000"/>
            </a:solidFill>
            <a:ln>
              <a:noFill/>
            </a:ln>
            <a:effectLst/>
          </c:spPr>
          <c:cat>
            <c:strRef>
              <c:f>'B2-Supply-Fig 13'!$C$22:$C$25</c:f>
              <c:strCache>
                <c:ptCount val="4"/>
                <c:pt idx="0">
                  <c:v>Europe</c:v>
                </c:pt>
                <c:pt idx="1">
                  <c:v>North America</c:v>
                </c:pt>
                <c:pt idx="2">
                  <c:v>Oceania</c:v>
                </c:pt>
                <c:pt idx="3">
                  <c:v>Latin America</c:v>
                </c:pt>
              </c:strCache>
            </c:strRef>
          </c:cat>
          <c:val>
            <c:numRef>
              <c:f>'B2-Supply-Fig 13'!$L$22:$L$25</c:f>
              <c:numCache>
                <c:formatCode>_(* #,##0.0_);_(* \(#,##0.0\);_(* "-"??_);_(@_)</c:formatCode>
                <c:ptCount val="4"/>
                <c:pt idx="0">
                  <c:v>15.522186619995882</c:v>
                </c:pt>
                <c:pt idx="1">
                  <c:v>13.9440104286438</c:v>
                </c:pt>
                <c:pt idx="2">
                  <c:v>13.239695909780588</c:v>
                </c:pt>
                <c:pt idx="3">
                  <c:v>3.8027605629374186</c:v>
                </c:pt>
              </c:numCache>
            </c:numRef>
          </c:val>
          <c:extLst xmlns:c16r2="http://schemas.microsoft.com/office/drawing/2015/06/chart">
            <c:ext xmlns:c16="http://schemas.microsoft.com/office/drawing/2014/chart" uri="{C3380CC4-5D6E-409C-BE32-E72D297353CC}">
              <c16:uniqueId val="{00000008-9105-4E42-AEA9-0F4CE2B23246}"/>
            </c:ext>
          </c:extLst>
        </c:ser>
        <c:gapWidth val="219"/>
        <c:overlap val="-27"/>
        <c:axId val="37513472"/>
        <c:axId val="37531648"/>
      </c:barChart>
      <c:catAx>
        <c:axId val="37513472"/>
        <c:scaling>
          <c:orientation val="minMax"/>
        </c:scaling>
        <c:axPos val="b"/>
        <c:numFmt formatCode="General" sourceLinked="1"/>
        <c:majorTickMark val="none"/>
        <c:tickLblPos val="nextTo"/>
        <c:spPr>
          <a:noFill/>
          <a:ln w="9525" cap="flat" cmpd="sng" algn="ctr">
            <a:solidFill>
              <a:srgbClr val="9C9D9D"/>
            </a:solidFill>
            <a:round/>
          </a:ln>
          <a:effectLst/>
        </c:spPr>
        <c:txPr>
          <a:bodyPr rot="-60000000" spcFirstLastPara="1" vertOverflow="ellipsis" vert="horz" wrap="square" anchor="ctr" anchorCtr="1"/>
          <a:lstStyle/>
          <a:p>
            <a:pPr>
              <a:defRPr sz="900" b="0" i="0" u="none" strike="noStrike" kern="1200" baseline="0">
                <a:solidFill>
                  <a:srgbClr val="000000"/>
                </a:solidFill>
                <a:latin typeface="+mn-lt"/>
                <a:ea typeface="+mn-ea"/>
                <a:cs typeface="+mn-cs"/>
              </a:defRPr>
            </a:pPr>
            <a:endParaRPr lang="zh-CN"/>
          </a:p>
        </c:txPr>
        <c:crossAx val="37531648"/>
        <c:crosses val="autoZero"/>
        <c:auto val="1"/>
        <c:lblAlgn val="ctr"/>
        <c:lblOffset val="100"/>
      </c:catAx>
      <c:valAx>
        <c:axId val="37531648"/>
        <c:scaling>
          <c:orientation val="minMax"/>
          <c:max val="25"/>
        </c:scaling>
        <c:axPos val="l"/>
        <c:majorGridlines>
          <c:spPr>
            <a:ln w="9525" cap="flat" cmpd="sng" algn="ctr">
              <a:solidFill>
                <a:srgbClr val="9C9D9D"/>
              </a:solidFill>
              <a:round/>
            </a:ln>
            <a:effectLst/>
          </c:spPr>
        </c:majorGridlines>
        <c:title>
          <c:tx>
            <c:rich>
              <a:bodyPr rot="-5400000" spcFirstLastPara="1" vertOverflow="ellipsis" vert="horz" wrap="square" anchor="ctr" anchorCtr="1"/>
              <a:lstStyle/>
              <a:p>
                <a:pPr>
                  <a:defRPr sz="1000" b="0" i="0" u="none" strike="noStrike" kern="1200" baseline="0">
                    <a:solidFill>
                      <a:srgbClr val="000000"/>
                    </a:solidFill>
                    <a:latin typeface="+mn-lt"/>
                    <a:ea typeface="+mn-ea"/>
                    <a:cs typeface="+mn-cs"/>
                  </a:defRPr>
                </a:pPr>
                <a:r>
                  <a:rPr lang="en-US"/>
                  <a:t>Percentage</a:t>
                </a:r>
              </a:p>
            </c:rich>
          </c:tx>
          <c:layout>
            <c:manualLayout>
              <c:xMode val="edge"/>
              <c:yMode val="edge"/>
              <c:x val="1.1111111111111117E-2"/>
              <c:y val="0.29866105278506855"/>
            </c:manualLayout>
          </c:layout>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0000"/>
                </a:solidFill>
                <a:latin typeface="+mn-lt"/>
                <a:ea typeface="+mn-ea"/>
                <a:cs typeface="+mn-cs"/>
              </a:defRPr>
            </a:pPr>
            <a:endParaRPr lang="zh-CN"/>
          </a:p>
        </c:txPr>
        <c:crossAx val="375134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rgbClr val="000000"/>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rgbClr val="FFFFFF"/>
    </a:solidFill>
    <a:ln w="9525" cap="flat" cmpd="sng" algn="ctr">
      <a:noFill/>
      <a:round/>
    </a:ln>
    <a:effectLst/>
  </c:spPr>
  <c:txPr>
    <a:bodyPr/>
    <a:lstStyle/>
    <a:p>
      <a:pPr>
        <a:defRPr>
          <a:solidFill>
            <a:srgbClr val="000000"/>
          </a:solidFill>
        </a:defRPr>
      </a:pPr>
      <a:endParaRPr lang="zh-CN"/>
    </a:p>
  </c:txPr>
  <c:externalData r:id="rId2"/>
</c:chartSpace>
</file>

<file path=word/drawings/drawing1.xml><?xml version="1.0" encoding="utf-8"?>
<c:userShapes xmlns:c="http://schemas.openxmlformats.org/drawingml/2006/chart">
  <cdr:relSizeAnchor xmlns:cdr="http://schemas.openxmlformats.org/drawingml/2006/chartDrawing">
    <cdr:from>
      <cdr:x>0.16398</cdr:x>
      <cdr:y>0.08296</cdr:y>
    </cdr:from>
    <cdr:to>
      <cdr:x>0.95501</cdr:x>
      <cdr:y>0.54222</cdr:y>
    </cdr:to>
    <cdr:cxnSp macro="">
      <cdr:nvCxnSpPr>
        <cdr:cNvPr id="3" name="Straight Arrow Connector 2">
          <a:extLst xmlns:a="http://schemas.openxmlformats.org/drawingml/2006/main">
            <a:ext uri="{FF2B5EF4-FFF2-40B4-BE49-F238E27FC236}">
              <a16:creationId xmlns="" xmlns:a16="http://schemas.microsoft.com/office/drawing/2014/main" id="{F9F8A5E8-DA0B-4637-A01C-C540A0783F30}"/>
            </a:ext>
          </a:extLst>
        </cdr:cNvPr>
        <cdr:cNvCxnSpPr/>
      </cdr:nvCxnSpPr>
      <cdr:spPr>
        <a:xfrm xmlns:a="http://schemas.openxmlformats.org/drawingml/2006/main">
          <a:off x="1016000" y="335643"/>
          <a:ext cx="4901038" cy="1858102"/>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0.54886</cdr:x>
      <cdr:y>0.23107</cdr:y>
    </cdr:from>
    <cdr:to>
      <cdr:x>0.73263</cdr:x>
      <cdr:y>0.35319</cdr:y>
    </cdr:to>
    <cdr:sp macro="" textlink="">
      <cdr:nvSpPr>
        <cdr:cNvPr id="2" name="TextBox 1">
          <a:extLst xmlns:a="http://schemas.openxmlformats.org/drawingml/2006/main">
            <a:ext uri="{FF2B5EF4-FFF2-40B4-BE49-F238E27FC236}">
              <a16:creationId xmlns="" xmlns:a16="http://schemas.microsoft.com/office/drawing/2014/main" id="{7F889816-2451-4C1C-903E-EF74030A98AA}"/>
            </a:ext>
          </a:extLst>
        </cdr:cNvPr>
        <cdr:cNvSpPr txBox="1"/>
      </cdr:nvSpPr>
      <cdr:spPr>
        <a:xfrm xmlns:a="http://schemas.openxmlformats.org/drawingml/2006/main" rot="1275937">
          <a:off x="3144777" y="864532"/>
          <a:ext cx="1052929" cy="4568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2000">
              <a:solidFill>
                <a:schemeClr val="tx1"/>
              </a:solidFill>
            </a:rPr>
            <a:t>-72%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WDR 2022">
    <a:dk1>
      <a:srgbClr val="009AA3"/>
    </a:dk1>
    <a:lt1>
      <a:srgbClr val="006D72"/>
    </a:lt1>
    <a:dk2>
      <a:srgbClr val="1A70B8"/>
    </a:dk2>
    <a:lt2>
      <a:srgbClr val="22417C"/>
    </a:lt2>
    <a:accent1>
      <a:srgbClr val="BA3E8C"/>
    </a:accent1>
    <a:accent2>
      <a:srgbClr val="7B0359"/>
    </a:accent2>
    <a:accent3>
      <a:srgbClr val="FFDD00"/>
    </a:accent3>
    <a:accent4>
      <a:srgbClr val="E0AE00"/>
    </a:accent4>
    <a:accent5>
      <a:srgbClr val="D68024"/>
    </a:accent5>
    <a:accent6>
      <a:srgbClr val="BA4D2E"/>
    </a:accent6>
    <a:hlink>
      <a:srgbClr val="E3E3E3"/>
    </a:hlink>
    <a:folHlink>
      <a:srgbClr val="9C9D9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wdr22">
    <a:dk1>
      <a:srgbClr val="009BAD"/>
    </a:dk1>
    <a:lt1>
      <a:srgbClr val="007076"/>
    </a:lt1>
    <a:dk2>
      <a:srgbClr val="2E7ABF"/>
    </a:dk2>
    <a:lt2>
      <a:srgbClr val="004994"/>
    </a:lt2>
    <a:accent1>
      <a:srgbClr val="BA3E8C"/>
    </a:accent1>
    <a:accent2>
      <a:srgbClr val="7B0359"/>
    </a:accent2>
    <a:accent3>
      <a:srgbClr val="EFD219"/>
    </a:accent3>
    <a:accent4>
      <a:srgbClr val="C49C00"/>
    </a:accent4>
    <a:accent5>
      <a:srgbClr val="EC6617"/>
    </a:accent5>
    <a:accent6>
      <a:srgbClr val="CB2819"/>
    </a:accent6>
    <a:hlink>
      <a:srgbClr val="E3E3E3"/>
    </a:hlink>
    <a:folHlink>
      <a:srgbClr val="9C9D9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wdr22">
    <a:dk1>
      <a:srgbClr val="009BAD"/>
    </a:dk1>
    <a:lt1>
      <a:srgbClr val="007076"/>
    </a:lt1>
    <a:dk2>
      <a:srgbClr val="2E7ABF"/>
    </a:dk2>
    <a:lt2>
      <a:srgbClr val="004994"/>
    </a:lt2>
    <a:accent1>
      <a:srgbClr val="BA3E8C"/>
    </a:accent1>
    <a:accent2>
      <a:srgbClr val="7B0359"/>
    </a:accent2>
    <a:accent3>
      <a:srgbClr val="EFD219"/>
    </a:accent3>
    <a:accent4>
      <a:srgbClr val="C49C00"/>
    </a:accent4>
    <a:accent5>
      <a:srgbClr val="EC6617"/>
    </a:accent5>
    <a:accent6>
      <a:srgbClr val="CB2819"/>
    </a:accent6>
    <a:hlink>
      <a:srgbClr val="E3E3E3"/>
    </a:hlink>
    <a:folHlink>
      <a:srgbClr val="9C9D9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SharedWithUsers xmlns="8bde3967-4b29-49c8-add0-1b77de203898">
      <UserInfo>
        <DisplayName>Bryce Pardo</DisplayName>
        <AccountId>1861</AccountId>
        <AccountType/>
      </UserInfo>
    </SharedWithUsers>
    <lcf76f155ced4ddcb4097134ff3c332f xmlns="fe842711-9fca-402b-b2e2-00a315aeb22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487AAC6551334DAFD6EAE4647717BA" ma:contentTypeVersion="20" ma:contentTypeDescription="Create a new document." ma:contentTypeScope="" ma:versionID="c3b47282de0ec2ba6c0eb23b977ba7bc">
  <xsd:schema xmlns:xsd="http://www.w3.org/2001/XMLSchema" xmlns:xs="http://www.w3.org/2001/XMLSchema" xmlns:p="http://schemas.microsoft.com/office/2006/metadata/properties" xmlns:ns2="8bde3967-4b29-49c8-add0-1b77de203898" xmlns:ns3="fe842711-9fca-402b-b2e2-00a315aeb22c" xmlns:ns4="985ec44e-1bab-4c0b-9df0-6ba128686fc9" targetNamespace="http://schemas.microsoft.com/office/2006/metadata/properties" ma:root="true" ma:fieldsID="c49b4aeba85379ca7e0b23ca07e72535" ns2:_="" ns3:_="" ns4:_="">
    <xsd:import namespace="8bde3967-4b29-49c8-add0-1b77de203898"/>
    <xsd:import namespace="fe842711-9fca-402b-b2e2-00a315aeb22c"/>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842711-9fca-402b-b2e2-00a315aeb2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68b4f6-077d-4e9b-8d51-ea092799dd60}" ma:internalName="TaxCatchAll" ma:showField="CatchAllData" ma:web="8bde3967-4b29-49c8-add0-1b77de203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8EA73-5F35-4A43-8867-521DD2425BC5}">
  <ds:schemaRefs>
    <ds:schemaRef ds:uri="http://schemas.microsoft.com/office/2006/metadata/properties"/>
    <ds:schemaRef ds:uri="http://schemas.microsoft.com/office/infopath/2007/PartnerControls"/>
    <ds:schemaRef ds:uri="985ec44e-1bab-4c0b-9df0-6ba128686fc9"/>
    <ds:schemaRef ds:uri="8bde3967-4b29-49c8-add0-1b77de203898"/>
    <ds:schemaRef ds:uri="fe842711-9fca-402b-b2e2-00a315aeb22c"/>
  </ds:schemaRefs>
</ds:datastoreItem>
</file>

<file path=customXml/itemProps2.xml><?xml version="1.0" encoding="utf-8"?>
<ds:datastoreItem xmlns:ds="http://schemas.openxmlformats.org/officeDocument/2006/customXml" ds:itemID="{18F92231-0649-4A45-B8D9-E59C4D0F0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e3967-4b29-49c8-add0-1b77de203898"/>
    <ds:schemaRef ds:uri="fe842711-9fca-402b-b2e2-00a315aeb22c"/>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5AC24-3558-49D9-ACC1-3AE0194EA706}">
  <ds:schemaRefs>
    <ds:schemaRef ds:uri="http://schemas.microsoft.com/sharepoint/v3/contenttype/forms"/>
  </ds:schemaRefs>
</ds:datastoreItem>
</file>

<file path=customXml/itemProps4.xml><?xml version="1.0" encoding="utf-8"?>
<ds:datastoreItem xmlns:ds="http://schemas.openxmlformats.org/officeDocument/2006/customXml" ds:itemID="{67E40606-78D6-4232-83AE-4860FDBE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22961</Words>
  <Characters>130882</Characters>
  <Application>Microsoft Office Word</Application>
  <DocSecurity>0</DocSecurity>
  <Lines>1090</Lines>
  <Paragraphs>307</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Methodology – World Drug Report 2011</vt:lpstr>
      <vt:lpstr>Methodology – World Drug Report 2011</vt:lpstr>
      <vt:lpstr>Methodology – World Drug Report 2011</vt:lpstr>
    </vt:vector>
  </TitlesOfParts>
  <Company>UNODC</Company>
  <LinksUpToDate>false</LinksUpToDate>
  <CharactersWithSpaces>153536</CharactersWithSpaces>
  <SharedDoc>false</SharedDoc>
  <HLinks>
    <vt:vector size="462" baseType="variant">
      <vt:variant>
        <vt:i4>2228258</vt:i4>
      </vt:variant>
      <vt:variant>
        <vt:i4>423</vt:i4>
      </vt:variant>
      <vt:variant>
        <vt:i4>0</vt:i4>
      </vt:variant>
      <vt:variant>
        <vt:i4>5</vt:i4>
      </vt:variant>
      <vt:variant>
        <vt:lpwstr>https://github.com/haisummers/research</vt:lpwstr>
      </vt:variant>
      <vt:variant>
        <vt:lpwstr/>
      </vt:variant>
      <vt:variant>
        <vt:i4>8192108</vt:i4>
      </vt:variant>
      <vt:variant>
        <vt:i4>411</vt:i4>
      </vt:variant>
      <vt:variant>
        <vt:i4>0</vt:i4>
      </vt:variant>
      <vt:variant>
        <vt:i4>5</vt:i4>
      </vt:variant>
      <vt:variant>
        <vt:lpwstr>https://www.epa.gov/energy/greenhouse-gas-equivalencies-calculator</vt:lpwstr>
      </vt:variant>
      <vt:variant>
        <vt:lpwstr/>
      </vt:variant>
      <vt:variant>
        <vt:i4>7340114</vt:i4>
      </vt:variant>
      <vt:variant>
        <vt:i4>408</vt:i4>
      </vt:variant>
      <vt:variant>
        <vt:i4>0</vt:i4>
      </vt:variant>
      <vt:variant>
        <vt:i4>5</vt:i4>
      </vt:variant>
      <vt:variant>
        <vt:lpwstr>https://www.unodc.org/unodc/en/data-and-analysis/wdr2021_annex.html</vt:lpwstr>
      </vt:variant>
      <vt:variant>
        <vt:lpwstr/>
      </vt:variant>
      <vt:variant>
        <vt:i4>7340114</vt:i4>
      </vt:variant>
      <vt:variant>
        <vt:i4>402</vt:i4>
      </vt:variant>
      <vt:variant>
        <vt:i4>0</vt:i4>
      </vt:variant>
      <vt:variant>
        <vt:i4>5</vt:i4>
      </vt:variant>
      <vt:variant>
        <vt:lpwstr>https://www.unodc.org/unodc/en/data-and-analysis/wdr2021_annex.html</vt:lpwstr>
      </vt:variant>
      <vt:variant>
        <vt:lpwstr/>
      </vt:variant>
      <vt:variant>
        <vt:i4>4980757</vt:i4>
      </vt:variant>
      <vt:variant>
        <vt:i4>399</vt:i4>
      </vt:variant>
      <vt:variant>
        <vt:i4>0</vt:i4>
      </vt:variant>
      <vt:variant>
        <vt:i4>5</vt:i4>
      </vt:variant>
      <vt:variant>
        <vt:lpwstr>https://www.unodc.org/unodc/en/crop-monitoring/index.html</vt:lpwstr>
      </vt:variant>
      <vt:variant>
        <vt:lpwstr/>
      </vt:variant>
      <vt:variant>
        <vt:i4>4980757</vt:i4>
      </vt:variant>
      <vt:variant>
        <vt:i4>393</vt:i4>
      </vt:variant>
      <vt:variant>
        <vt:i4>0</vt:i4>
      </vt:variant>
      <vt:variant>
        <vt:i4>5</vt:i4>
      </vt:variant>
      <vt:variant>
        <vt:lpwstr>https://www.unodc.org/unodc/en/crop-monitoring/index.html</vt:lpwstr>
      </vt:variant>
      <vt:variant>
        <vt:lpwstr/>
      </vt:variant>
      <vt:variant>
        <vt:i4>3932287</vt:i4>
      </vt:variant>
      <vt:variant>
        <vt:i4>384</vt:i4>
      </vt:variant>
      <vt:variant>
        <vt:i4>0</vt:i4>
      </vt:variant>
      <vt:variant>
        <vt:i4>5</vt:i4>
      </vt:variant>
      <vt:variant>
        <vt:lpwstr>https://doi.org/10.1016/j.scitotenv.2018.11.345</vt:lpwstr>
      </vt:variant>
      <vt:variant>
        <vt:lpwstr/>
      </vt:variant>
      <vt:variant>
        <vt:i4>6553652</vt:i4>
      </vt:variant>
      <vt:variant>
        <vt:i4>381</vt:i4>
      </vt:variant>
      <vt:variant>
        <vt:i4>0</vt:i4>
      </vt:variant>
      <vt:variant>
        <vt:i4>5</vt:i4>
      </vt:variant>
      <vt:variant>
        <vt:lpwstr>https://doi.org/10.1007/s11356-020-12035-w</vt:lpwstr>
      </vt:variant>
      <vt:variant>
        <vt:lpwstr/>
      </vt:variant>
      <vt:variant>
        <vt:i4>393239</vt:i4>
      </vt:variant>
      <vt:variant>
        <vt:i4>378</vt:i4>
      </vt:variant>
      <vt:variant>
        <vt:i4>0</vt:i4>
      </vt:variant>
      <vt:variant>
        <vt:i4>5</vt:i4>
      </vt:variant>
      <vt:variant>
        <vt:lpwstr>https://doi.org/10.1007/s11356-018-2864-7</vt:lpwstr>
      </vt:variant>
      <vt:variant>
        <vt:lpwstr/>
      </vt:variant>
      <vt:variant>
        <vt:i4>3080304</vt:i4>
      </vt:variant>
      <vt:variant>
        <vt:i4>375</vt:i4>
      </vt:variant>
      <vt:variant>
        <vt:i4>0</vt:i4>
      </vt:variant>
      <vt:variant>
        <vt:i4>5</vt:i4>
      </vt:variant>
      <vt:variant>
        <vt:lpwstr>https://doi.org/10.1016/j.forsciint.2018.11.012</vt:lpwstr>
      </vt:variant>
      <vt:variant>
        <vt:lpwstr/>
      </vt:variant>
      <vt:variant>
        <vt:i4>2097200</vt:i4>
      </vt:variant>
      <vt:variant>
        <vt:i4>372</vt:i4>
      </vt:variant>
      <vt:variant>
        <vt:i4>0</vt:i4>
      </vt:variant>
      <vt:variant>
        <vt:i4>5</vt:i4>
      </vt:variant>
      <vt:variant>
        <vt:lpwstr>https://doi.org/10.1007/s11356-021-12371-5</vt:lpwstr>
      </vt:variant>
      <vt:variant>
        <vt:lpwstr/>
      </vt:variant>
      <vt:variant>
        <vt:i4>3539067</vt:i4>
      </vt:variant>
      <vt:variant>
        <vt:i4>369</vt:i4>
      </vt:variant>
      <vt:variant>
        <vt:i4>0</vt:i4>
      </vt:variant>
      <vt:variant>
        <vt:i4>5</vt:i4>
      </vt:variant>
      <vt:variant>
        <vt:lpwstr>https://doi.org/10.1016/j.scitotenv.2017.04.202</vt:lpwstr>
      </vt:variant>
      <vt:variant>
        <vt:lpwstr/>
      </vt:variant>
      <vt:variant>
        <vt:i4>2556028</vt:i4>
      </vt:variant>
      <vt:variant>
        <vt:i4>366</vt:i4>
      </vt:variant>
      <vt:variant>
        <vt:i4>0</vt:i4>
      </vt:variant>
      <vt:variant>
        <vt:i4>5</vt:i4>
      </vt:variant>
      <vt:variant>
        <vt:lpwstr>https://doi.org/10.1016/j.scitotenv.2020.140697</vt:lpwstr>
      </vt:variant>
      <vt:variant>
        <vt:lpwstr/>
      </vt:variant>
      <vt:variant>
        <vt:i4>655438</vt:i4>
      </vt:variant>
      <vt:variant>
        <vt:i4>363</vt:i4>
      </vt:variant>
      <vt:variant>
        <vt:i4>0</vt:i4>
      </vt:variant>
      <vt:variant>
        <vt:i4>5</vt:i4>
      </vt:variant>
      <vt:variant>
        <vt:lpwstr>https://doi.org/10.1080/20961790.2018.1500082</vt:lpwstr>
      </vt:variant>
      <vt:variant>
        <vt:lpwstr/>
      </vt:variant>
      <vt:variant>
        <vt:i4>5046347</vt:i4>
      </vt:variant>
      <vt:variant>
        <vt:i4>360</vt:i4>
      </vt:variant>
      <vt:variant>
        <vt:i4>0</vt:i4>
      </vt:variant>
      <vt:variant>
        <vt:i4>5</vt:i4>
      </vt:variant>
      <vt:variant>
        <vt:lpwstr>https://doi.org/10.1016/j.watres.2020.116729</vt:lpwstr>
      </vt:variant>
      <vt:variant>
        <vt:lpwstr/>
      </vt:variant>
      <vt:variant>
        <vt:i4>5111841</vt:i4>
      </vt:variant>
      <vt:variant>
        <vt:i4>342</vt:i4>
      </vt:variant>
      <vt:variant>
        <vt:i4>0</vt:i4>
      </vt:variant>
      <vt:variant>
        <vt:i4>5</vt:i4>
      </vt:variant>
      <vt:variant>
        <vt:lpwstr>https://www.emcdda.europa.eu/data/stats2022/hsr_en</vt:lpwstr>
      </vt:variant>
      <vt:variant>
        <vt:lpwstr/>
      </vt:variant>
      <vt:variant>
        <vt:i4>1048629</vt:i4>
      </vt:variant>
      <vt:variant>
        <vt:i4>332</vt:i4>
      </vt:variant>
      <vt:variant>
        <vt:i4>0</vt:i4>
      </vt:variant>
      <vt:variant>
        <vt:i4>5</vt:i4>
      </vt:variant>
      <vt:variant>
        <vt:lpwstr/>
      </vt:variant>
      <vt:variant>
        <vt:lpwstr>_Toc106766468</vt:lpwstr>
      </vt:variant>
      <vt:variant>
        <vt:i4>1048629</vt:i4>
      </vt:variant>
      <vt:variant>
        <vt:i4>326</vt:i4>
      </vt:variant>
      <vt:variant>
        <vt:i4>0</vt:i4>
      </vt:variant>
      <vt:variant>
        <vt:i4>5</vt:i4>
      </vt:variant>
      <vt:variant>
        <vt:lpwstr/>
      </vt:variant>
      <vt:variant>
        <vt:lpwstr>_Toc106766467</vt:lpwstr>
      </vt:variant>
      <vt:variant>
        <vt:i4>1048629</vt:i4>
      </vt:variant>
      <vt:variant>
        <vt:i4>320</vt:i4>
      </vt:variant>
      <vt:variant>
        <vt:i4>0</vt:i4>
      </vt:variant>
      <vt:variant>
        <vt:i4>5</vt:i4>
      </vt:variant>
      <vt:variant>
        <vt:lpwstr/>
      </vt:variant>
      <vt:variant>
        <vt:lpwstr>_Toc106766466</vt:lpwstr>
      </vt:variant>
      <vt:variant>
        <vt:i4>1048629</vt:i4>
      </vt:variant>
      <vt:variant>
        <vt:i4>314</vt:i4>
      </vt:variant>
      <vt:variant>
        <vt:i4>0</vt:i4>
      </vt:variant>
      <vt:variant>
        <vt:i4>5</vt:i4>
      </vt:variant>
      <vt:variant>
        <vt:lpwstr/>
      </vt:variant>
      <vt:variant>
        <vt:lpwstr>_Toc106766465</vt:lpwstr>
      </vt:variant>
      <vt:variant>
        <vt:i4>1048629</vt:i4>
      </vt:variant>
      <vt:variant>
        <vt:i4>308</vt:i4>
      </vt:variant>
      <vt:variant>
        <vt:i4>0</vt:i4>
      </vt:variant>
      <vt:variant>
        <vt:i4>5</vt:i4>
      </vt:variant>
      <vt:variant>
        <vt:lpwstr/>
      </vt:variant>
      <vt:variant>
        <vt:lpwstr>_Toc106766464</vt:lpwstr>
      </vt:variant>
      <vt:variant>
        <vt:i4>1048629</vt:i4>
      </vt:variant>
      <vt:variant>
        <vt:i4>302</vt:i4>
      </vt:variant>
      <vt:variant>
        <vt:i4>0</vt:i4>
      </vt:variant>
      <vt:variant>
        <vt:i4>5</vt:i4>
      </vt:variant>
      <vt:variant>
        <vt:lpwstr/>
      </vt:variant>
      <vt:variant>
        <vt:lpwstr>_Toc106766463</vt:lpwstr>
      </vt:variant>
      <vt:variant>
        <vt:i4>1048629</vt:i4>
      </vt:variant>
      <vt:variant>
        <vt:i4>296</vt:i4>
      </vt:variant>
      <vt:variant>
        <vt:i4>0</vt:i4>
      </vt:variant>
      <vt:variant>
        <vt:i4>5</vt:i4>
      </vt:variant>
      <vt:variant>
        <vt:lpwstr/>
      </vt:variant>
      <vt:variant>
        <vt:lpwstr>_Toc106766462</vt:lpwstr>
      </vt:variant>
      <vt:variant>
        <vt:i4>1048629</vt:i4>
      </vt:variant>
      <vt:variant>
        <vt:i4>290</vt:i4>
      </vt:variant>
      <vt:variant>
        <vt:i4>0</vt:i4>
      </vt:variant>
      <vt:variant>
        <vt:i4>5</vt:i4>
      </vt:variant>
      <vt:variant>
        <vt:lpwstr/>
      </vt:variant>
      <vt:variant>
        <vt:lpwstr>_Toc106766461</vt:lpwstr>
      </vt:variant>
      <vt:variant>
        <vt:i4>1048629</vt:i4>
      </vt:variant>
      <vt:variant>
        <vt:i4>284</vt:i4>
      </vt:variant>
      <vt:variant>
        <vt:i4>0</vt:i4>
      </vt:variant>
      <vt:variant>
        <vt:i4>5</vt:i4>
      </vt:variant>
      <vt:variant>
        <vt:lpwstr/>
      </vt:variant>
      <vt:variant>
        <vt:lpwstr>_Toc106766460</vt:lpwstr>
      </vt:variant>
      <vt:variant>
        <vt:i4>1245237</vt:i4>
      </vt:variant>
      <vt:variant>
        <vt:i4>278</vt:i4>
      </vt:variant>
      <vt:variant>
        <vt:i4>0</vt:i4>
      </vt:variant>
      <vt:variant>
        <vt:i4>5</vt:i4>
      </vt:variant>
      <vt:variant>
        <vt:lpwstr/>
      </vt:variant>
      <vt:variant>
        <vt:lpwstr>_Toc106766459</vt:lpwstr>
      </vt:variant>
      <vt:variant>
        <vt:i4>1245237</vt:i4>
      </vt:variant>
      <vt:variant>
        <vt:i4>272</vt:i4>
      </vt:variant>
      <vt:variant>
        <vt:i4>0</vt:i4>
      </vt:variant>
      <vt:variant>
        <vt:i4>5</vt:i4>
      </vt:variant>
      <vt:variant>
        <vt:lpwstr/>
      </vt:variant>
      <vt:variant>
        <vt:lpwstr>_Toc106766458</vt:lpwstr>
      </vt:variant>
      <vt:variant>
        <vt:i4>1245237</vt:i4>
      </vt:variant>
      <vt:variant>
        <vt:i4>266</vt:i4>
      </vt:variant>
      <vt:variant>
        <vt:i4>0</vt:i4>
      </vt:variant>
      <vt:variant>
        <vt:i4>5</vt:i4>
      </vt:variant>
      <vt:variant>
        <vt:lpwstr/>
      </vt:variant>
      <vt:variant>
        <vt:lpwstr>_Toc106766457</vt:lpwstr>
      </vt:variant>
      <vt:variant>
        <vt:i4>1245237</vt:i4>
      </vt:variant>
      <vt:variant>
        <vt:i4>260</vt:i4>
      </vt:variant>
      <vt:variant>
        <vt:i4>0</vt:i4>
      </vt:variant>
      <vt:variant>
        <vt:i4>5</vt:i4>
      </vt:variant>
      <vt:variant>
        <vt:lpwstr/>
      </vt:variant>
      <vt:variant>
        <vt:lpwstr>_Toc106766456</vt:lpwstr>
      </vt:variant>
      <vt:variant>
        <vt:i4>1245237</vt:i4>
      </vt:variant>
      <vt:variant>
        <vt:i4>254</vt:i4>
      </vt:variant>
      <vt:variant>
        <vt:i4>0</vt:i4>
      </vt:variant>
      <vt:variant>
        <vt:i4>5</vt:i4>
      </vt:variant>
      <vt:variant>
        <vt:lpwstr/>
      </vt:variant>
      <vt:variant>
        <vt:lpwstr>_Toc106766455</vt:lpwstr>
      </vt:variant>
      <vt:variant>
        <vt:i4>1245237</vt:i4>
      </vt:variant>
      <vt:variant>
        <vt:i4>248</vt:i4>
      </vt:variant>
      <vt:variant>
        <vt:i4>0</vt:i4>
      </vt:variant>
      <vt:variant>
        <vt:i4>5</vt:i4>
      </vt:variant>
      <vt:variant>
        <vt:lpwstr/>
      </vt:variant>
      <vt:variant>
        <vt:lpwstr>_Toc106766454</vt:lpwstr>
      </vt:variant>
      <vt:variant>
        <vt:i4>1245237</vt:i4>
      </vt:variant>
      <vt:variant>
        <vt:i4>242</vt:i4>
      </vt:variant>
      <vt:variant>
        <vt:i4>0</vt:i4>
      </vt:variant>
      <vt:variant>
        <vt:i4>5</vt:i4>
      </vt:variant>
      <vt:variant>
        <vt:lpwstr/>
      </vt:variant>
      <vt:variant>
        <vt:lpwstr>_Toc106766453</vt:lpwstr>
      </vt:variant>
      <vt:variant>
        <vt:i4>1245237</vt:i4>
      </vt:variant>
      <vt:variant>
        <vt:i4>236</vt:i4>
      </vt:variant>
      <vt:variant>
        <vt:i4>0</vt:i4>
      </vt:variant>
      <vt:variant>
        <vt:i4>5</vt:i4>
      </vt:variant>
      <vt:variant>
        <vt:lpwstr/>
      </vt:variant>
      <vt:variant>
        <vt:lpwstr>_Toc106766452</vt:lpwstr>
      </vt:variant>
      <vt:variant>
        <vt:i4>1245237</vt:i4>
      </vt:variant>
      <vt:variant>
        <vt:i4>230</vt:i4>
      </vt:variant>
      <vt:variant>
        <vt:i4>0</vt:i4>
      </vt:variant>
      <vt:variant>
        <vt:i4>5</vt:i4>
      </vt:variant>
      <vt:variant>
        <vt:lpwstr/>
      </vt:variant>
      <vt:variant>
        <vt:lpwstr>_Toc106766451</vt:lpwstr>
      </vt:variant>
      <vt:variant>
        <vt:i4>1245237</vt:i4>
      </vt:variant>
      <vt:variant>
        <vt:i4>224</vt:i4>
      </vt:variant>
      <vt:variant>
        <vt:i4>0</vt:i4>
      </vt:variant>
      <vt:variant>
        <vt:i4>5</vt:i4>
      </vt:variant>
      <vt:variant>
        <vt:lpwstr/>
      </vt:variant>
      <vt:variant>
        <vt:lpwstr>_Toc106766450</vt:lpwstr>
      </vt:variant>
      <vt:variant>
        <vt:i4>1179701</vt:i4>
      </vt:variant>
      <vt:variant>
        <vt:i4>218</vt:i4>
      </vt:variant>
      <vt:variant>
        <vt:i4>0</vt:i4>
      </vt:variant>
      <vt:variant>
        <vt:i4>5</vt:i4>
      </vt:variant>
      <vt:variant>
        <vt:lpwstr/>
      </vt:variant>
      <vt:variant>
        <vt:lpwstr>_Toc106766449</vt:lpwstr>
      </vt:variant>
      <vt:variant>
        <vt:i4>1179701</vt:i4>
      </vt:variant>
      <vt:variant>
        <vt:i4>212</vt:i4>
      </vt:variant>
      <vt:variant>
        <vt:i4>0</vt:i4>
      </vt:variant>
      <vt:variant>
        <vt:i4>5</vt:i4>
      </vt:variant>
      <vt:variant>
        <vt:lpwstr/>
      </vt:variant>
      <vt:variant>
        <vt:lpwstr>_Toc106766448</vt:lpwstr>
      </vt:variant>
      <vt:variant>
        <vt:i4>1179701</vt:i4>
      </vt:variant>
      <vt:variant>
        <vt:i4>206</vt:i4>
      </vt:variant>
      <vt:variant>
        <vt:i4>0</vt:i4>
      </vt:variant>
      <vt:variant>
        <vt:i4>5</vt:i4>
      </vt:variant>
      <vt:variant>
        <vt:lpwstr/>
      </vt:variant>
      <vt:variant>
        <vt:lpwstr>_Toc106766447</vt:lpwstr>
      </vt:variant>
      <vt:variant>
        <vt:i4>1179701</vt:i4>
      </vt:variant>
      <vt:variant>
        <vt:i4>200</vt:i4>
      </vt:variant>
      <vt:variant>
        <vt:i4>0</vt:i4>
      </vt:variant>
      <vt:variant>
        <vt:i4>5</vt:i4>
      </vt:variant>
      <vt:variant>
        <vt:lpwstr/>
      </vt:variant>
      <vt:variant>
        <vt:lpwstr>_Toc106766446</vt:lpwstr>
      </vt:variant>
      <vt:variant>
        <vt:i4>1179701</vt:i4>
      </vt:variant>
      <vt:variant>
        <vt:i4>194</vt:i4>
      </vt:variant>
      <vt:variant>
        <vt:i4>0</vt:i4>
      </vt:variant>
      <vt:variant>
        <vt:i4>5</vt:i4>
      </vt:variant>
      <vt:variant>
        <vt:lpwstr/>
      </vt:variant>
      <vt:variant>
        <vt:lpwstr>_Toc106766445</vt:lpwstr>
      </vt:variant>
      <vt:variant>
        <vt:i4>1179701</vt:i4>
      </vt:variant>
      <vt:variant>
        <vt:i4>188</vt:i4>
      </vt:variant>
      <vt:variant>
        <vt:i4>0</vt:i4>
      </vt:variant>
      <vt:variant>
        <vt:i4>5</vt:i4>
      </vt:variant>
      <vt:variant>
        <vt:lpwstr/>
      </vt:variant>
      <vt:variant>
        <vt:lpwstr>_Toc106766444</vt:lpwstr>
      </vt:variant>
      <vt:variant>
        <vt:i4>1179701</vt:i4>
      </vt:variant>
      <vt:variant>
        <vt:i4>182</vt:i4>
      </vt:variant>
      <vt:variant>
        <vt:i4>0</vt:i4>
      </vt:variant>
      <vt:variant>
        <vt:i4>5</vt:i4>
      </vt:variant>
      <vt:variant>
        <vt:lpwstr/>
      </vt:variant>
      <vt:variant>
        <vt:lpwstr>_Toc106766443</vt:lpwstr>
      </vt:variant>
      <vt:variant>
        <vt:i4>1179701</vt:i4>
      </vt:variant>
      <vt:variant>
        <vt:i4>176</vt:i4>
      </vt:variant>
      <vt:variant>
        <vt:i4>0</vt:i4>
      </vt:variant>
      <vt:variant>
        <vt:i4>5</vt:i4>
      </vt:variant>
      <vt:variant>
        <vt:lpwstr/>
      </vt:variant>
      <vt:variant>
        <vt:lpwstr>_Toc106766442</vt:lpwstr>
      </vt:variant>
      <vt:variant>
        <vt:i4>1179701</vt:i4>
      </vt:variant>
      <vt:variant>
        <vt:i4>170</vt:i4>
      </vt:variant>
      <vt:variant>
        <vt:i4>0</vt:i4>
      </vt:variant>
      <vt:variant>
        <vt:i4>5</vt:i4>
      </vt:variant>
      <vt:variant>
        <vt:lpwstr/>
      </vt:variant>
      <vt:variant>
        <vt:lpwstr>_Toc106766441</vt:lpwstr>
      </vt:variant>
      <vt:variant>
        <vt:i4>1179701</vt:i4>
      </vt:variant>
      <vt:variant>
        <vt:i4>164</vt:i4>
      </vt:variant>
      <vt:variant>
        <vt:i4>0</vt:i4>
      </vt:variant>
      <vt:variant>
        <vt:i4>5</vt:i4>
      </vt:variant>
      <vt:variant>
        <vt:lpwstr/>
      </vt:variant>
      <vt:variant>
        <vt:lpwstr>_Toc106766440</vt:lpwstr>
      </vt:variant>
      <vt:variant>
        <vt:i4>1376309</vt:i4>
      </vt:variant>
      <vt:variant>
        <vt:i4>158</vt:i4>
      </vt:variant>
      <vt:variant>
        <vt:i4>0</vt:i4>
      </vt:variant>
      <vt:variant>
        <vt:i4>5</vt:i4>
      </vt:variant>
      <vt:variant>
        <vt:lpwstr/>
      </vt:variant>
      <vt:variant>
        <vt:lpwstr>_Toc106766439</vt:lpwstr>
      </vt:variant>
      <vt:variant>
        <vt:i4>1376309</vt:i4>
      </vt:variant>
      <vt:variant>
        <vt:i4>152</vt:i4>
      </vt:variant>
      <vt:variant>
        <vt:i4>0</vt:i4>
      </vt:variant>
      <vt:variant>
        <vt:i4>5</vt:i4>
      </vt:variant>
      <vt:variant>
        <vt:lpwstr/>
      </vt:variant>
      <vt:variant>
        <vt:lpwstr>_Toc106766438</vt:lpwstr>
      </vt:variant>
      <vt:variant>
        <vt:i4>1376309</vt:i4>
      </vt:variant>
      <vt:variant>
        <vt:i4>146</vt:i4>
      </vt:variant>
      <vt:variant>
        <vt:i4>0</vt:i4>
      </vt:variant>
      <vt:variant>
        <vt:i4>5</vt:i4>
      </vt:variant>
      <vt:variant>
        <vt:lpwstr/>
      </vt:variant>
      <vt:variant>
        <vt:lpwstr>_Toc106766437</vt:lpwstr>
      </vt:variant>
      <vt:variant>
        <vt:i4>1376309</vt:i4>
      </vt:variant>
      <vt:variant>
        <vt:i4>140</vt:i4>
      </vt:variant>
      <vt:variant>
        <vt:i4>0</vt:i4>
      </vt:variant>
      <vt:variant>
        <vt:i4>5</vt:i4>
      </vt:variant>
      <vt:variant>
        <vt:lpwstr/>
      </vt:variant>
      <vt:variant>
        <vt:lpwstr>_Toc106766436</vt:lpwstr>
      </vt:variant>
      <vt:variant>
        <vt:i4>1376309</vt:i4>
      </vt:variant>
      <vt:variant>
        <vt:i4>134</vt:i4>
      </vt:variant>
      <vt:variant>
        <vt:i4>0</vt:i4>
      </vt:variant>
      <vt:variant>
        <vt:i4>5</vt:i4>
      </vt:variant>
      <vt:variant>
        <vt:lpwstr/>
      </vt:variant>
      <vt:variant>
        <vt:lpwstr>_Toc106766435</vt:lpwstr>
      </vt:variant>
      <vt:variant>
        <vt:i4>1376309</vt:i4>
      </vt:variant>
      <vt:variant>
        <vt:i4>128</vt:i4>
      </vt:variant>
      <vt:variant>
        <vt:i4>0</vt:i4>
      </vt:variant>
      <vt:variant>
        <vt:i4>5</vt:i4>
      </vt:variant>
      <vt:variant>
        <vt:lpwstr/>
      </vt:variant>
      <vt:variant>
        <vt:lpwstr>_Toc106766433</vt:lpwstr>
      </vt:variant>
      <vt:variant>
        <vt:i4>1376309</vt:i4>
      </vt:variant>
      <vt:variant>
        <vt:i4>122</vt:i4>
      </vt:variant>
      <vt:variant>
        <vt:i4>0</vt:i4>
      </vt:variant>
      <vt:variant>
        <vt:i4>5</vt:i4>
      </vt:variant>
      <vt:variant>
        <vt:lpwstr/>
      </vt:variant>
      <vt:variant>
        <vt:lpwstr>_Toc106766432</vt:lpwstr>
      </vt:variant>
      <vt:variant>
        <vt:i4>1376309</vt:i4>
      </vt:variant>
      <vt:variant>
        <vt:i4>116</vt:i4>
      </vt:variant>
      <vt:variant>
        <vt:i4>0</vt:i4>
      </vt:variant>
      <vt:variant>
        <vt:i4>5</vt:i4>
      </vt:variant>
      <vt:variant>
        <vt:lpwstr/>
      </vt:variant>
      <vt:variant>
        <vt:lpwstr>_Toc106766431</vt:lpwstr>
      </vt:variant>
      <vt:variant>
        <vt:i4>1376309</vt:i4>
      </vt:variant>
      <vt:variant>
        <vt:i4>110</vt:i4>
      </vt:variant>
      <vt:variant>
        <vt:i4>0</vt:i4>
      </vt:variant>
      <vt:variant>
        <vt:i4>5</vt:i4>
      </vt:variant>
      <vt:variant>
        <vt:lpwstr/>
      </vt:variant>
      <vt:variant>
        <vt:lpwstr>_Toc106766430</vt:lpwstr>
      </vt:variant>
      <vt:variant>
        <vt:i4>1310773</vt:i4>
      </vt:variant>
      <vt:variant>
        <vt:i4>104</vt:i4>
      </vt:variant>
      <vt:variant>
        <vt:i4>0</vt:i4>
      </vt:variant>
      <vt:variant>
        <vt:i4>5</vt:i4>
      </vt:variant>
      <vt:variant>
        <vt:lpwstr/>
      </vt:variant>
      <vt:variant>
        <vt:lpwstr>_Toc106766429</vt:lpwstr>
      </vt:variant>
      <vt:variant>
        <vt:i4>1310773</vt:i4>
      </vt:variant>
      <vt:variant>
        <vt:i4>98</vt:i4>
      </vt:variant>
      <vt:variant>
        <vt:i4>0</vt:i4>
      </vt:variant>
      <vt:variant>
        <vt:i4>5</vt:i4>
      </vt:variant>
      <vt:variant>
        <vt:lpwstr/>
      </vt:variant>
      <vt:variant>
        <vt:lpwstr>_Toc106766428</vt:lpwstr>
      </vt:variant>
      <vt:variant>
        <vt:i4>1310773</vt:i4>
      </vt:variant>
      <vt:variant>
        <vt:i4>92</vt:i4>
      </vt:variant>
      <vt:variant>
        <vt:i4>0</vt:i4>
      </vt:variant>
      <vt:variant>
        <vt:i4>5</vt:i4>
      </vt:variant>
      <vt:variant>
        <vt:lpwstr/>
      </vt:variant>
      <vt:variant>
        <vt:lpwstr>_Toc106766427</vt:lpwstr>
      </vt:variant>
      <vt:variant>
        <vt:i4>1310773</vt:i4>
      </vt:variant>
      <vt:variant>
        <vt:i4>86</vt:i4>
      </vt:variant>
      <vt:variant>
        <vt:i4>0</vt:i4>
      </vt:variant>
      <vt:variant>
        <vt:i4>5</vt:i4>
      </vt:variant>
      <vt:variant>
        <vt:lpwstr/>
      </vt:variant>
      <vt:variant>
        <vt:lpwstr>_Toc106766426</vt:lpwstr>
      </vt:variant>
      <vt:variant>
        <vt:i4>1310773</vt:i4>
      </vt:variant>
      <vt:variant>
        <vt:i4>80</vt:i4>
      </vt:variant>
      <vt:variant>
        <vt:i4>0</vt:i4>
      </vt:variant>
      <vt:variant>
        <vt:i4>5</vt:i4>
      </vt:variant>
      <vt:variant>
        <vt:lpwstr/>
      </vt:variant>
      <vt:variant>
        <vt:lpwstr>_Toc106766425</vt:lpwstr>
      </vt:variant>
      <vt:variant>
        <vt:i4>1310773</vt:i4>
      </vt:variant>
      <vt:variant>
        <vt:i4>74</vt:i4>
      </vt:variant>
      <vt:variant>
        <vt:i4>0</vt:i4>
      </vt:variant>
      <vt:variant>
        <vt:i4>5</vt:i4>
      </vt:variant>
      <vt:variant>
        <vt:lpwstr/>
      </vt:variant>
      <vt:variant>
        <vt:lpwstr>_Toc106766424</vt:lpwstr>
      </vt:variant>
      <vt:variant>
        <vt:i4>1310773</vt:i4>
      </vt:variant>
      <vt:variant>
        <vt:i4>68</vt:i4>
      </vt:variant>
      <vt:variant>
        <vt:i4>0</vt:i4>
      </vt:variant>
      <vt:variant>
        <vt:i4>5</vt:i4>
      </vt:variant>
      <vt:variant>
        <vt:lpwstr/>
      </vt:variant>
      <vt:variant>
        <vt:lpwstr>_Toc106766423</vt:lpwstr>
      </vt:variant>
      <vt:variant>
        <vt:i4>1310773</vt:i4>
      </vt:variant>
      <vt:variant>
        <vt:i4>62</vt:i4>
      </vt:variant>
      <vt:variant>
        <vt:i4>0</vt:i4>
      </vt:variant>
      <vt:variant>
        <vt:i4>5</vt:i4>
      </vt:variant>
      <vt:variant>
        <vt:lpwstr/>
      </vt:variant>
      <vt:variant>
        <vt:lpwstr>_Toc106766422</vt:lpwstr>
      </vt:variant>
      <vt:variant>
        <vt:i4>1310773</vt:i4>
      </vt:variant>
      <vt:variant>
        <vt:i4>56</vt:i4>
      </vt:variant>
      <vt:variant>
        <vt:i4>0</vt:i4>
      </vt:variant>
      <vt:variant>
        <vt:i4>5</vt:i4>
      </vt:variant>
      <vt:variant>
        <vt:lpwstr/>
      </vt:variant>
      <vt:variant>
        <vt:lpwstr>_Toc106766421</vt:lpwstr>
      </vt:variant>
      <vt:variant>
        <vt:i4>1310773</vt:i4>
      </vt:variant>
      <vt:variant>
        <vt:i4>50</vt:i4>
      </vt:variant>
      <vt:variant>
        <vt:i4>0</vt:i4>
      </vt:variant>
      <vt:variant>
        <vt:i4>5</vt:i4>
      </vt:variant>
      <vt:variant>
        <vt:lpwstr/>
      </vt:variant>
      <vt:variant>
        <vt:lpwstr>_Toc106766420</vt:lpwstr>
      </vt:variant>
      <vt:variant>
        <vt:i4>1507381</vt:i4>
      </vt:variant>
      <vt:variant>
        <vt:i4>44</vt:i4>
      </vt:variant>
      <vt:variant>
        <vt:i4>0</vt:i4>
      </vt:variant>
      <vt:variant>
        <vt:i4>5</vt:i4>
      </vt:variant>
      <vt:variant>
        <vt:lpwstr/>
      </vt:variant>
      <vt:variant>
        <vt:lpwstr>_Toc106766419</vt:lpwstr>
      </vt:variant>
      <vt:variant>
        <vt:i4>1507381</vt:i4>
      </vt:variant>
      <vt:variant>
        <vt:i4>38</vt:i4>
      </vt:variant>
      <vt:variant>
        <vt:i4>0</vt:i4>
      </vt:variant>
      <vt:variant>
        <vt:i4>5</vt:i4>
      </vt:variant>
      <vt:variant>
        <vt:lpwstr/>
      </vt:variant>
      <vt:variant>
        <vt:lpwstr>_Toc106766418</vt:lpwstr>
      </vt:variant>
      <vt:variant>
        <vt:i4>1507381</vt:i4>
      </vt:variant>
      <vt:variant>
        <vt:i4>32</vt:i4>
      </vt:variant>
      <vt:variant>
        <vt:i4>0</vt:i4>
      </vt:variant>
      <vt:variant>
        <vt:i4>5</vt:i4>
      </vt:variant>
      <vt:variant>
        <vt:lpwstr/>
      </vt:variant>
      <vt:variant>
        <vt:lpwstr>_Toc106766417</vt:lpwstr>
      </vt:variant>
      <vt:variant>
        <vt:i4>1507381</vt:i4>
      </vt:variant>
      <vt:variant>
        <vt:i4>26</vt:i4>
      </vt:variant>
      <vt:variant>
        <vt:i4>0</vt:i4>
      </vt:variant>
      <vt:variant>
        <vt:i4>5</vt:i4>
      </vt:variant>
      <vt:variant>
        <vt:lpwstr/>
      </vt:variant>
      <vt:variant>
        <vt:lpwstr>_Toc106766416</vt:lpwstr>
      </vt:variant>
      <vt:variant>
        <vt:i4>1507381</vt:i4>
      </vt:variant>
      <vt:variant>
        <vt:i4>20</vt:i4>
      </vt:variant>
      <vt:variant>
        <vt:i4>0</vt:i4>
      </vt:variant>
      <vt:variant>
        <vt:i4>5</vt:i4>
      </vt:variant>
      <vt:variant>
        <vt:lpwstr/>
      </vt:variant>
      <vt:variant>
        <vt:lpwstr>_Toc106766415</vt:lpwstr>
      </vt:variant>
      <vt:variant>
        <vt:i4>1507381</vt:i4>
      </vt:variant>
      <vt:variant>
        <vt:i4>14</vt:i4>
      </vt:variant>
      <vt:variant>
        <vt:i4>0</vt:i4>
      </vt:variant>
      <vt:variant>
        <vt:i4>5</vt:i4>
      </vt:variant>
      <vt:variant>
        <vt:lpwstr/>
      </vt:variant>
      <vt:variant>
        <vt:lpwstr>_Toc106766414</vt:lpwstr>
      </vt:variant>
      <vt:variant>
        <vt:i4>1507381</vt:i4>
      </vt:variant>
      <vt:variant>
        <vt:i4>8</vt:i4>
      </vt:variant>
      <vt:variant>
        <vt:i4>0</vt:i4>
      </vt:variant>
      <vt:variant>
        <vt:i4>5</vt:i4>
      </vt:variant>
      <vt:variant>
        <vt:lpwstr/>
      </vt:variant>
      <vt:variant>
        <vt:lpwstr>_Toc106766413</vt:lpwstr>
      </vt:variant>
      <vt:variant>
        <vt:i4>1507381</vt:i4>
      </vt:variant>
      <vt:variant>
        <vt:i4>2</vt:i4>
      </vt:variant>
      <vt:variant>
        <vt:i4>0</vt:i4>
      </vt:variant>
      <vt:variant>
        <vt:i4>5</vt:i4>
      </vt:variant>
      <vt:variant>
        <vt:lpwstr/>
      </vt:variant>
      <vt:variant>
        <vt:lpwstr>_Toc106766412</vt:lpwstr>
      </vt:variant>
      <vt:variant>
        <vt:i4>1179732</vt:i4>
      </vt:variant>
      <vt:variant>
        <vt:i4>12</vt:i4>
      </vt:variant>
      <vt:variant>
        <vt:i4>0</vt:i4>
      </vt:variant>
      <vt:variant>
        <vt:i4>5</vt:i4>
      </vt:variant>
      <vt:variant>
        <vt:lpwstr>http://www.unodc.org/unodc/en/crop-monitoring/index.html</vt:lpwstr>
      </vt:variant>
      <vt:variant>
        <vt:lpwstr/>
      </vt:variant>
      <vt:variant>
        <vt:i4>5373962</vt:i4>
      </vt:variant>
      <vt:variant>
        <vt:i4>9</vt:i4>
      </vt:variant>
      <vt:variant>
        <vt:i4>0</vt:i4>
      </vt:variant>
      <vt:variant>
        <vt:i4>5</vt:i4>
      </vt:variant>
      <vt:variant>
        <vt:lpwstr>https://score-network.eu/monitoring/</vt:lpwstr>
      </vt:variant>
      <vt:variant>
        <vt:lpwstr/>
      </vt:variant>
      <vt:variant>
        <vt:i4>7143474</vt:i4>
      </vt:variant>
      <vt:variant>
        <vt:i4>3</vt:i4>
      </vt:variant>
      <vt:variant>
        <vt:i4>0</vt:i4>
      </vt:variant>
      <vt:variant>
        <vt:i4>5</vt:i4>
      </vt:variant>
      <vt:variant>
        <vt:lpwstr>http://pdas.samhsa.gov/</vt:lpwstr>
      </vt:variant>
      <vt:variant>
        <vt:lpwstr/>
      </vt:variant>
      <vt:variant>
        <vt:i4>655385</vt:i4>
      </vt:variant>
      <vt:variant>
        <vt:i4>0</vt:i4>
      </vt:variant>
      <vt:variant>
        <vt:i4>0</vt:i4>
      </vt:variant>
      <vt:variant>
        <vt:i4>5</vt:i4>
      </vt:variant>
      <vt:variant>
        <vt:lpwstr>https://undocs.org/Home/Mobile?FinalSymbol=E%2FCN.7%2F2020%2F12&amp;Language=E&amp;DeviceType=Desktop&amp;LangRequested=False</vt:lpwstr>
      </vt:variant>
      <vt:variant>
        <vt:lpwstr/>
      </vt:variant>
      <vt:variant>
        <vt:i4>3407992</vt:i4>
      </vt:variant>
      <vt:variant>
        <vt:i4>0</vt:i4>
      </vt:variant>
      <vt:variant>
        <vt:i4>0</vt:i4>
      </vt:variant>
      <vt:variant>
        <vt:i4>5</vt:i4>
      </vt:variant>
      <vt:variant>
        <vt:lpwstr>https://population.un.org/wpp/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 World Drug Report 2011</dc:title>
  <dc:creator>"Kamran Niaz"</dc:creator>
  <cp:lastModifiedBy>lenovo</cp:lastModifiedBy>
  <cp:revision>2</cp:revision>
  <cp:lastPrinted>2018-06-19T15:48:00Z</cp:lastPrinted>
  <dcterms:created xsi:type="dcterms:W3CDTF">2024-03-14T15:25:00Z</dcterms:created>
  <dcterms:modified xsi:type="dcterms:W3CDTF">2024-03-14T15:25:00Z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id="QKKSNSi6"/&gt;&lt;style id="http://www.zotero.org/styles/chicago-fullnote-bibliography-with-ibid" locale="en-US" hasBibliography="1" bibliographyStyleHasBeenSet="0"/&gt;&lt;prefs&gt;&lt;pref name="fieldType" value=</vt:lpwstr>
  </property>
  <property fmtid="{D5CDD505-2E9C-101B-9397-08002B2CF9AE}" pid="3" name="ZOTERO_PREF_2">
    <vt:lpwstr>"Field"/&gt;&lt;pref name="noteType" value="1"/&gt;&lt;/prefs&gt;&lt;/data&gt;</vt:lpwstr>
  </property>
  <property fmtid="{D5CDD505-2E9C-101B-9397-08002B2CF9AE}" pid="4" name="MediaServiceImageTags">
    <vt:lpwstr/>
  </property>
  <property fmtid="{D5CDD505-2E9C-101B-9397-08002B2CF9AE}" pid="5" name="ContentTypeId">
    <vt:lpwstr>0x010100ACC2ACFA87F550418D225E071F542ADA</vt:lpwstr>
  </property>
</Properties>
</file>